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5A_461/2025 vom 17. Juni 2025</w:t>
      </w:r>
    </w:p>
    <w:p>
      <w:r>
        <w:t>Bundesgericht, 2025-06-17, DE</w:t>
      </w:r>
    </w:p>
    <w:p>
      <w:r>
        <w:rPr>
          <w:b/>
        </w:rPr>
        <w:t xml:space="preserve">Quelle: </w:t>
      </w:r>
      <w:r>
        <w:t>https://mcp.opencaselaw.ch/entscheid/bger_5A_461_2025</w:t>
      </w:r>
    </w:p>
    <w:p>
      <w:r>
        <w:t>FR: TF 5A_461/2025 du 17 juin 2025</w:t>
      </w:r>
    </w:p>
    <w:p>
      <w:r>
        <w:t>IT: TF 5A_461/2025 del 17 giugno 2025</w:t>
      </w:r>
    </w:p>
    <w:p>
      <w:pPr>
        <w:pStyle w:val="Heading2"/>
      </w:pPr>
      <w:r>
        <w:t>Erwägungen</w:t>
      </w:r>
    </w:p>
    <w:p>
      <w:r>
        <w:rPr>
          <w:b/>
        </w:rPr>
        <w:t>E. 1</w:t>
      </w:r>
    </w:p>
    <w:p>
      <w:r>
        <w:t>Kantonal letztinstanzliche Entscheide in den Bereichen der fürsorgerischen Unterbringung und der Behandlung ohne Zustimmung können beim Bundesgericht angefochten werden ( Art. 72 Abs. 1 und Art. 75 Abs. 1 BGG ), allerdings erst die schriftlich begründete Ausfertigung des Entscheides ( Art. 100 Abs. 1 und Art. 112 Abs. 1 BGG ). Der Entscheid ist erst im Dispositiv eröffnet und hiergegen steht die Beschwerde an das Bundesgericht nicht offen. Der Beschwerde würde es im Übrigen auch an einer sachgerichteten Begründung mangeln.</w:t>
      </w:r>
    </w:p>
    <w:p>
      <w:r>
        <w:rPr>
          <w:b/>
        </w:rPr>
        <w:t>E. 2</w:t>
      </w:r>
    </w:p>
    <w:p>
      <w:r>
        <w:t>Nach dem Gesagten ist auf die Beschwerde im vereinfachten Verfahren nach Art. 108 Abs. 1 lit. a und b BGG nicht einzutreten.</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