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5A_461/2022 vom 24. Oktober 2022</w:t>
      </w:r>
    </w:p>
    <w:p>
      <w:r>
        <w:t>Bundesgericht, 2022-10-24, DE</w:t>
      </w:r>
    </w:p>
    <w:p>
      <w:r>
        <w:rPr>
          <w:b/>
        </w:rPr>
        <w:t xml:space="preserve">Quelle: </w:t>
      </w:r>
      <w:r>
        <w:t>https://mcp.opencaselaw.ch/entscheid/bger_5A_461_2022</w:t>
      </w:r>
    </w:p>
    <w:p>
      <w:r>
        <w:t>FR: TF 5A_461/2022 du 24 octobre 2022</w:t>
      </w:r>
    </w:p>
    <w:p>
      <w:r>
        <w:t>IT: TF 5A_461/2022 del 24 ottobre 2022</w:t>
      </w:r>
    </w:p>
    <w:p>
      <w:pPr>
        <w:pStyle w:val="Heading2"/>
      </w:pPr>
      <w:r>
        <w:t>Erwägungen</w:t>
      </w:r>
    </w:p>
    <w:p>
      <w:r>
        <w:rPr>
          <w:b/>
        </w:rPr>
        <w:t>E. 1.1</w:t>
      </w:r>
    </w:p>
    <w:p>
      <w:r>
        <w:t>Streitig ist die Festsetzung der Entschädigung des Beschwerdeführers als unentgeltlicher Rechtsbeistand in einem Ehescheidungsverfahren. Der öffentlich-rechtliche Entschädigungsanspruch bezieht sich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 Art. 72 Abs. 2 lit. b BGG ; Urteile 5D_163/2019 vom 24. Februar 2020 E. 1.1; 5A_1007/2018 vom 26. Juni 2019 E. 2.1; je mit Hinweisen).</w:t>
      </w:r>
    </w:p>
    <w:p>
      <w:r>
        <w:rPr>
          <w:b/>
        </w:rPr>
        <w:t>E. 1.2</w:t>
      </w:r>
    </w:p>
    <w:p>
      <w:r>
        <w:t>Der öffentlich-rechtliche Entschädigungsanspruch des unentgeltlichen Rechtsbeistands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Die für die Beschwerde in Zivilsachen massgebliche Streitwertgrenze von Fr. 30'000.-- ( Art. 74 Abs. 1 lit. b BGG ) ist nicht erreicht, was auch der Beschwerdeführer nicht bestreitet. Dass sich eine Rechtsfrage von grundsätzlicher Bedeutung stellen würde ( Art. 74 Abs. 2 lit. a BGG ) wird nicht geltend gemacht und ist auch nicht ersichtlich. Die subsidiäre Verfassungsbeschwerde ( Art. 113 ff. BGG ) ist daher das zutreffende Rechtsmittel.</w:t>
      </w:r>
    </w:p>
    <w:p>
      <w:r>
        <w:rPr>
          <w:b/>
        </w:rPr>
        <w:t>E. 1.3</w:t>
      </w:r>
    </w:p>
    <w:p>
      <w:r>
        <w:t>Das Obergericht hat als obere kantonale Instanz auf Rechtsmittel hin entschieden (Art. 114 i.V.m. Art. 75 BGG ). Der Beschwerdeführer hat am vorinstanzlichen Verfahren teilgenommen; der angefochtene Entscheid trifft diesen in seinen rechtlich geschützten Interessen ( Art. 115 BGG ) und schliesst das kantonale Verfahren ab (Art. 117 i.V.m Art. 90 BGG ). Die rechtzeitig erhobene (Art. 117 i.V.m. Art. 100 Abs. 1 BGG ) Beschwerde steht damit offen.</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2</w:t>
      </w:r>
    </w:p>
    <w:p>
      <w:r>
        <w:t>Der Kanton Aargau sieht für das Honorar des unentgeltlichen Rechtsvertreters in ordentlichen oder vereinfachten Zivilverfahren keine Entschädigung nach dem konkret geltend gemachten Zeitaufwand vor. Vielmehr erfolgt die Entschädigung ausgehend von einer Grundentschädigung, die entweder streitwertabhängig oder nach dem mutmasslichen Aufwand, nach der Bedeutung und Schwierigkeit des Falles festzulegen ist und mit entsprechenden Zu- oder Abschlägen erhöht bzw. vermindert werden kann. Einschlägig sind die Bestimmungen des aargauischen Dekrets über die Entschädigung der Anwälte (SAR 291.150, Anwaltstarif, AnwT). Die Grundentschädigung gilt für die Instruktion, das Aktenstudium, rechtliche Abklärungen, Korrespondenzen und Telefongespräche sowie eine Rechtsschrift und die Teilnahme an einer behördlichen Verhandlung (§ 6 Abs. 1 AnwT).</w:t>
      </w:r>
    </w:p>
    <w:p>
      <w:r>
        <w:rPr>
          <w:b/>
        </w:rPr>
        <w:t>E. 2.1.1</w:t>
      </w:r>
    </w:p>
    <w:p>
      <w:r>
        <w:t>Strittig ist zunächst, ob das kantonale Recht (insbesondere § 3 Abs. 1 und § 6 Abs. 1 AnwT/AG) willkürlich angewendet worden ist, indem die Vorinstanz erwog, die Grundentschädigung enthalte (zusätzlich) zur Teilnahme an einer behördlichen Verhandlung bereits die Teilnahme an der Schlichtungsverhandlung, der die Einigungsverhandlung nach Art. 291 ZPO gleichgesetzt werde, weshalb dem Beschwerdeführer - entgegen dem Vorgehen der Erstinstanz - kein Zuschlag für die nach der Einigungsverhandlung einzig stattfindende Instruktionsverhandlung zu gewähren sei.</w:t>
      </w:r>
    </w:p>
    <w:p>
      <w:r>
        <w:rPr>
          <w:b/>
        </w:rPr>
        <w:t>E. 2.1.2</w:t>
      </w:r>
    </w:p>
    <w:p>
      <w:r>
        <w:t>Wie das Bundesgericht in Bezug auf die vorliegend strittige aargauische Regelung bereits entschieden hat, ist unter Willkürgesichtspunkten nicht zu beanstanden, dass der Einigungsverhandlung im Scheidungsverfahren die Qualität einer behördlichen Verhandlung gemäss § 6 Abs. 1 AnwT/AG abgesprochen wird (Urteil 5D_14/2017 vom 19. Juli 2017 E. 3.3.3) bzw. dass die Einigungsverhandlung gemäss Art. 291 ZPO und die Hauptverhandlung von der Grundentschädigung erfasst sind (Urteil 5D_33/2017 vom 24. August 2017 E. 4.3). Damit ist unter Willkürgesichtspunkten ebenso wenig zu beanstanden, wenn - soweit die Hauptverhandlung entfällt - die Einigungs- und die Instruktionsverhandlung als von der Grundentschädigung erfasst betrachtet und weder die eine noch die andere Verhandlung zusätzlich entschädigt werden. Dass die Vorinstanz den von der Erstinstanz noch zugesprochenen Zuschlag kürzte (dafür andere Zuschläge erhöhte, womit im Ergebnis gleich viele Zuschläge zugesprochen wurden), obwohl der Beschwerdeführer diesen nie gerügt hatte, ist nicht zu beanstanden.</w:t>
      </w:r>
    </w:p>
    <w:p>
      <w:r>
        <w:rPr>
          <w:b/>
        </w:rPr>
        <w:t>E. 2.2</w:t>
      </w:r>
    </w:p>
    <w:p>
      <w:r>
        <w:t>Der Beschwerdeführer kritisiert ferner die pauschalisierende Art der Bemessung seiner Entschädigung.</w:t>
      </w:r>
    </w:p>
    <w:p>
      <w:r>
        <w:rPr>
          <w:b/>
        </w:rPr>
        <w:t>E. 2.2.1.1</w:t>
      </w:r>
    </w:p>
    <w:p>
      <w:r>
        <w:t>Nach der bundesgerichtlichen Rechtsprechung ist es zulässig, für die Entschädigung der unentgeltlichen Rechtsvertretung Pauschalen vorzusehen. Honorarpauschalen entlasten das Gericht davon, sich mit den einzelnen Positionen einer von der unentgeltlichen Rechtsvertretung eingereichten Honorarrechnung auseinandersetzen zu müssen ( BGE 143 IV 453 E. 2.5.1 mit Hinweis). Bei einer Honorarbemessung nach Pauschalbeträgen werden alle prozessualen Bemühungen zusammen als einheitliches Ganzes aufgefasst und der effektive Zeitaufwand lediglich im Rahmen eines allenfalls anwendbaren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141 I 124 E. 4.3 mit Hinweis). Ausgangspunkt ist eine Gesamtbetrachtung des Honorars unter Berücksichtigung des konkreten Falles.</w:t>
      </w:r>
    </w:p>
    <w:p>
      <w:r>
        <w:rPr>
          <w:b/>
        </w:rPr>
        <w:t>E. 2.2.1.2</w:t>
      </w:r>
    </w:p>
    <w:p>
      <w:r>
        <w:t>Nach der Rechtsprechung soll die Entschädigung für einen amtlichen Anwalt im schweizerischen Durchschnitt ungefähr einem minimalen Stundenansatz von Fr. 180.-- (zuzüglich Mehrwertsteuer) entsprechen ( BGE 141 I 124 E. 3.2; 139 IV 261 E. 2.2.1; 137 III 185 E. 5.4 ; 132 I 201 E. 8.7). Daraus folgt aber nicht, dass die Behörde mit Blick auf die pauschalisierende Festsetzung der Entschädigung im Sinne einer "Kontrollrechnung" systematisch überprüfen muss, ob die pauschale Entschädigung gemessen am geltend gemachten, noch nicht auf seine Notwendigkeit hin überprüften Zeitaufwand im Ergebnis einem Stundenansatz von ungefähr Fr. 180.-- entspricht.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angesehen wird, liegt es deshalb am unentgeltlichen Rechtsvertreter, von sich aus oder gegebenenfalls auf gerichtliche Aufforderung hin darzulegen, inwiefern zur gehörigen Erledigung des Mandats ein solcher Aufwand erforderlich war. Allein die Auflistung von Aufwandpositionen in der Honorarnote ist hierfür nicht ausreichend. Denn es ist nicht Aufgabe der Behörde, in ihrem Festsetzungsentscheid aus eigenem Antrieb Rechenschaft darüber abzulegen, weshalb sie von der eingereichten Honorarnote abweicht.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(zum Ganzen BGE 143 IV 453 E. 2.5.1).</w:t>
      </w:r>
    </w:p>
    <w:p>
      <w:r>
        <w:rPr>
          <w:b/>
        </w:rPr>
        <w:t>E. 2.2.2</w:t>
      </w:r>
    </w:p>
    <w:p>
      <w:r>
        <w:t>Nach diesen Grundsätzen entschied die Vorinstanz. Dabei hielt sie insbesondere fest, der im Kanton Aargau tätige und damit mit dem Anwaltstarif/AG vertraute Beschwerdeführer hätte aufzeigen müssen, dass bzw. inwiefern zur gehörigen Erfüllung des Prozessmandats der aufgelistete Zeitaufwand notwendig gewesen sei, wozu die blosse Auflistung von Aufwandpositionen in der Honorarnote nicht ausreiche. Auch die im Beschwerdeverfahren neu vorgebrachten Umstände seien - soweit zulässig - nicht geeignet, die Notwendigkeit des geltend gemachten Zeitaufwands zu belegen. Der Beschwerdeführer setzt sich mit diesen (zutreffenden) Ausführungen der Vorinstanz nicht substanziiert auseinander und behauptet insbesondere weder, dass er nicht in Erfahrung bringen konnte, auf welchen Pauschalbetrag die zuständige Behörde in durchschnittlichen Verfahren gleicher Art die Grundentschädigung praxisgemäss festsetzt, noch, dass er seine Honorarrechnung substanziiert begründet hätte (er führt lediglich aus, er habe darauf hingewiesen, dass das detaillierte Leistungsverzeichnis als Nachweis dafür diene, dass die geltend gemachte Entschädigung bemessen nach Pauschalen auch mit seinem effektiven Arbeitsaufwand übereinstimme, was nach dem Dargelegten aber nicht genügt). Seiner Beschwerde ist daher bereits aus diesem Grund kein Erfolg beschieden. Seine Ausführungen, auf die angesichts dessen nicht im Detail einzugehen ist, zielen letztlich darauf ab, dass der verfassungsmässige Mindeststundenansatz von Fr. 180.-- für seinen gesamten geltend gemachten Zeitaufwand gewahrt werden müsse und Kürzungen in der Honorarnote zu begründen wären. Dies trifft vorliegend aber gerade nicht zu, nachdem der Beschwerdeführer seine Honorarnote - selbst nach Ankündigung der Erstinstanz, dass diese nicht im beantragten Umfang genehmigt werden könne (siehe Sachverhalt Bst. A) - nicht substanziiert begründet hatte bzw. solcherlei nicht behauptet (siehe E. 2.2.1.2). Es ist daher weder eine Verletzung der Begründungspflicht gemäss Art. 29 Abs. 2 BV noch des Rechtsgleichheitsgebots ( Art. 8 BV ), der Wirtschaftsfreiheit ( Art. 27 BV ) oder Art. 29 Abs. 3 BV ersichtlich und auch Willkür ( Art. 9 BV ) ist nicht dargetan.</w:t>
      </w:r>
    </w:p>
    <w:p>
      <w:r>
        <w:rPr>
          <w:b/>
        </w:rPr>
        <w:t>E. 3</w:t>
      </w:r>
    </w:p>
    <w:p>
      <w:r>
        <w:t>Die Beschwerde ist folglich abzuweisen. Damit bleibt auch kein Raum für eine Neuregelung der vorinstanzlichen Kosten- und Entschädigungsfolgen, zumal der Beschwerdeführer eine solche nicht unabhängig vom Obsiegen in der Sache begründet. Der Beschwerdeführer wird entsprechend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