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461/2021 vom 7. April 2022</w:t>
      </w:r>
    </w:p>
    <w:p>
      <w:r>
        <w:t>Bundesgericht, 2022-04-07, DE</w:t>
      </w:r>
    </w:p>
    <w:p>
      <w:r>
        <w:rPr>
          <w:b/>
        </w:rPr>
        <w:t xml:space="preserve">Quelle: </w:t>
      </w:r>
      <w:r>
        <w:t>https://mcp.opencaselaw.ch/entscheid/bger_5A_461_2021</w:t>
      </w:r>
    </w:p>
    <w:p>
      <w:r>
        <w:t>FR: TF 5A 461/2021 du 7 avril 2022</w:t>
      </w:r>
    </w:p>
    <w:p>
      <w:r>
        <w:t>IT: TF 5A 461/2021 del 7 aprile 2022</w:t>
      </w:r>
    </w:p>
    <w:p>
      <w:pPr>
        <w:pStyle w:val="Heading2"/>
      </w:pPr>
      <w:r>
        <w:t>Regeste</w:t>
      </w:r>
    </w:p>
    <w:p>
      <w:r>
        <w:t>vorsorgliche Massnahmen (Persönlichkeitsschutz) | Personenrecht</w:t>
      </w:r>
    </w:p>
    <w:p>
      <w:pPr>
        <w:pStyle w:val="Heading2"/>
      </w:pPr>
      <w:r>
        <w:t>Erwägungen</w:t>
      </w:r>
    </w:p>
    <w:p>
      <w:r>
        <w:rPr>
          <w:b/>
        </w:rPr>
        <w:t>E. 1</w:t>
      </w:r>
    </w:p>
    <w:p>
      <w:r>
        <w:t>Das Bundesgericht prüft von Amtes wegen und mit freier Kognition, ob ein Rechtsmittel zulässig ist ( Art. 29 Abs. 1 BGG ; BGE 145 II 168 E. 1; 144 II 184 E. 1).</w:t>
      </w:r>
    </w:p>
    <w:p>
      <w:r>
        <w:rPr>
          <w:b/>
        </w:rPr>
        <w:t>E. 2.1</w:t>
      </w:r>
    </w:p>
    <w:p>
      <w:r>
        <w:t>Das vorinstanzliche Urteil betrifft den vorläufigen Rechtsschutz im Persönlichkeitsrecht ( Art. 28, 28a und 28b ZGB i.V.m. Art. 261 ff. ZPO ). Das ist eine Zivilsache ( Art. 72 Abs. 1 BGG ) nicht vermögensrechtlicher Natur (vgl. BGE 127 III 481 E. 1a). Die Vorinstanz ist ein oberes Gericht, das als letzte kantonale Instanz auf Rechtsmittel hin entschieden hat ( Art. 75 BGG ). Der angefochtene Entscheid heisst die Berufung des Beschwerdeführers nur teilweise gut, lautet teilweise also nach wie vor zum Nachteil des Beschwerdeführers ( Art. 76 Abs. 1 BGG ). Die Beschwerdefrist ist eingehalten ( Art. 100 Abs. 1 BGG ).</w:t>
      </w:r>
    </w:p>
    <w:p>
      <w:r>
        <w:rPr>
          <w:b/>
        </w:rPr>
        <w:t>E. 2.2</w:t>
      </w:r>
    </w:p>
    <w:p>
      <w:r>
        <w:t>Der Beschwerdeführer beantragt auch die Aufhebung des Entscheids des Bezirksgerichts (s. Sachverhalt Bst. B). Dies ist unzulässig. Anfechtungsobjekt ist im bundesgerichtlichen Beschwerdeverfahren zum Vornherein nur der Entscheid des Obergerichts. Dieser trat an die Stelle des Entscheids des Bezirksgerichts (Devolutiveffekt; BGE 134 II 142 E. 1.4). Auf das entsprechende Rechtsbegehren ist nicht einzutreten.</w:t>
      </w:r>
    </w:p>
    <w:p>
      <w:r>
        <w:rPr>
          <w:b/>
        </w:rPr>
        <w:t>E. 3</w:t>
      </w:r>
    </w:p>
    <w:p>
      <w:r>
        <w:t>Der angefochtene Entscheid beschlägt ein vorprozessual gestelltes Gesuch um vorsorgliche Massnahmen zum Schutz der Persönlichkeit.</w:t>
      </w:r>
    </w:p>
    <w:p>
      <w:r>
        <w:rPr>
          <w:b/>
        </w:rPr>
        <w:t>E. 3.1</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bzw. nur unter der Bedingung Bestand haben, dass ein Hauptverfahren eingeleitet wird, stellen Zwischenentscheide im Sinne von Art. 93 BGG dar ( BGE 144 III 475 E. 1.1.1; 138 III 76 E. 1.2; 137 III 324 E. 1.1; zum vorsorglichen Persönlichkeitsschutz Urteile 5A_824/2021 vom 25. Januar 2022 E. 3.1; 5A_373/2012 vom 11. Juli 2012 E. 2.1). Der angefochtene Massnahmeentscheid ist somit entgegen der Meinung des Beschwerdeführers kein Endentscheid ( Art. 90 BGG ), sondern ein Zwischenentscheid. Er unterliegt dem in der Hauptsache zulässigen Rechtsmittel (vgl. BGE 137 III 261 E. 1.4) und damit der Beschwerde gemäss Art. 72 ff. (s. oben E. 2.1).</w:t>
      </w:r>
    </w:p>
    <w:p>
      <w:r>
        <w:rPr>
          <w:b/>
        </w:rPr>
        <w:t>E. 3.2</w:t>
      </w:r>
    </w:p>
    <w:p>
      <w:r>
        <w:t>Abgesehen vom hier nicht einschlägigen Art. 92 BGG betreffend Vor- und Zwischenentscheide über die Zuständigkeit und den Ausstand kann ein selbständig eröffneter Vor- und Zwischenentscheid nur angefochten werden, wenn der Vorwurf der Rechtsverweigerung erhoben wird ( BGE 143 III 416 E. 1.4; 137 III 261 E. 1.2.2) oder die Voraussetzungen von Art. 93 Abs. 1 Bst. a und b BGG erfüllt sind. Vorliegend fällt nur die Variante gemäss Buchstabe a in Betracht (vgl. BGE 134 I 83 E. 3.1). Demnach ist die Beschwerde nur zulässig, wenn der Zwischenentscheid einen nicht wieder gutzumachenden Nachteil bewirken kann (s. dazu BGE 141 III 395 E. 2.5; 138 III 333 E. 1.3.1; 137 III 380 E. 1.2.1, 522 E. 1.3). Nach der Rechtsprechung obliegt es der Beschwerde führenden Partei darzutun, dass eine der beiden Voraussetzungen nach Art. 93 Abs. 1 BGG erfüllt ist ( BGE 137 III 324 E. 1.1; 134 III 426 E. 1.2), es sei denn, deren Vorliegen springe geradezu in die Augen ( BGE 141 III 80 E. 1.2; 138 III 46 E. 1.2). Äussert sich die Beschwerde führende Partei aber überhaupt nicht dazu, weshalb ein selbständig anfechtbarer Zwischenentscheid im Sinne von Art. 93 Abs. 1 BGG vorliegt, übersieht sie mithin diese Eintretensfrage schlechthin, so kann das Bundesgericht mangels hinreichender Begründung nicht auf die Beschwerde eintreten (Urteile 5A_824/2021 vom 25. Januar 2022 E. 3.2; 5A_715/2020 vom 28. September 2020 E 3.2; 5A_70/2020 vom 18. Juni 2020 E. 3.2; 4A_203/2019 vom 11. Mai 2020 E. 1.3.1, nicht publ. in: BGE 146 III 254 ; 5D_111/2015 vom 6. Oktober 2015 E. 2.2; 5A_620/2011 vom 16. November 2011 E. 3.2; 4A_250/2007 vom 12. September 2007 E. 2.1; vgl. zur Rechtsprechung unter der Herrschaft des OG BGE 118 II 91 E. 1a).</w:t>
      </w:r>
    </w:p>
    <w:p>
      <w:r>
        <w:rPr>
          <w:b/>
        </w:rPr>
        <w:t>E. 3.3</w:t>
      </w:r>
    </w:p>
    <w:p>
      <w:r>
        <w:t>In der irrigen Annahme, angefochten sei ein Endentscheid ( Art. 90 BGG ), äussert sich der Beschwerdeführer nicht zu den Voraussetzungen, die erfüllt sein müssen, um auf einen Zwischenentscheid nach Art. 93 BGG eintreten zu können. Namentlich äussert er sich nicht dazu, welchen nicht wieder gutzumachenden Nachteil er wegen des ihm auferlegten Kontaktverbots erleidet. Ein solcher Nachteil springt auch nicht in die Augen, nachdem die Vorinstanz mit ihrem Entscheid sicherstellte, dass das Kontaktverbot den Beschwerdeführer nicht am persönlichen Verkehr mit seiner Tochter hindert. Auf die Beschwerde kann deshalb nicht eingetreten werden. Dies gilt auch in Bezug auf den Antrag des Beschwerdeführers, die Kosten des erst- und vorinstanzlichen Verfahrens anders zu verteilen, als dies geschehen ist, und ihn für den Aufwand in diesen Verfahren zu entschädigen, denn diese Begehren wurden nicht unabhängig von der Sache gestellt.</w:t>
      </w:r>
    </w:p>
    <w:p>
      <w:r>
        <w:rPr>
          <w:b/>
        </w:rPr>
        <w:t>E. 4</w:t>
      </w:r>
    </w:p>
    <w:p>
      <w:r>
        <w:t>Beim geschilderten Ausgang des Verfahrens wird der Beschwerdeführer kostenpflichtig ( Art. 66 Abs. 1 BGG ). Er schuldet der Beschwerdegegnerin aber keine Parteientschädigung, da ihr mangels Einholens einer Vernehmlassung keine entschädigungspflichtigen Kosten entstanden sind ( Art. 68 Abs. 1 und 2 BGG ). Das Gesuch des Beschwerdeführers um unentgeltliche Rechtspflege und Verbeiständung ist abzuweisen. Seine Beschwerde muss als zum Vornherein aussichtslos bezeichnet werden, nachdem er sich in der Qualifikation des angefochtenen Entscheids geirrt und eine elementare Eintretensvoraussetzung übersehen hat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