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460/2021 vom 5. August 2021</w:t>
      </w:r>
    </w:p>
    <w:p>
      <w:r>
        <w:t>Bundesgericht, 2021-08-05, IT</w:t>
      </w:r>
    </w:p>
    <w:p>
      <w:r>
        <w:rPr>
          <w:b/>
        </w:rPr>
        <w:t xml:space="preserve">Quelle: </w:t>
      </w:r>
      <w:r>
        <w:t>https://mcp.opencaselaw.ch/entscheid/bger_5A_460_2021</w:t>
      </w:r>
    </w:p>
    <w:p>
      <w:r>
        <w:t>FR: TF 5A 460/2021 du 5 août 2021</w:t>
      </w:r>
    </w:p>
    <w:p>
      <w:r>
        <w:t>IT: TF 5A 460/2021 del 5 agosto 2021</w:t>
      </w:r>
    </w:p>
    <w:p>
      <w:pPr>
        <w:pStyle w:val="Heading2"/>
      </w:pPr>
      <w:r>
        <w:t>Regeste</w:t>
      </w:r>
    </w:p>
    <w:p>
      <w:r>
        <w:t>sequestro, riconoscimento di una sentenza straniera | Diritto delle esecuzioni e del fallimento</w:t>
      </w:r>
    </w:p>
    <w:p>
      <w:pPr>
        <w:pStyle w:val="Heading2"/>
      </w:pPr>
      <w:r>
        <w:t>Erwägungen</w:t>
      </w:r>
    </w:p>
    <w:p>
      <w:r>
        <w:rPr>
          <w:b/>
        </w:rPr>
        <w:t>E. 1.1</w:t>
      </w:r>
    </w:p>
    <w:p>
      <w:r>
        <w:t>La decisione impugnata, con cui il tribunale superiore del Cantone Ticino (Allegato III della Convenzione di Lugano del 30 ottobre 2007 concernente la competenza giurisdizionale, il riconoscimento e l'esecuzione delle decisioni in materia civile e commerciale [CLug; RS 0.275.12]) ha accolto un ricorso ai sensi dell' art. 43 CLug , è suscettiva di un ricorso in materia civile ( art. 44 e Allegato IV CLug in relazione con gli art. 72 cpv. 2 lett. b n. 1 e 75 cpv. 1 LTF), atteso che anche il valore di lite supera la soglia prevista dall' art. 74 cpv. 1 lett. b LTF (v. DTF 139 III 232 consid. 1). Il ricorso, peraltro tempestivo ( art. 100 cpv. 1 LTF ), risulta quindi in linea di principio ammissibile. Dato l'esito del ricorso, non occorre approfondire - come già in sede cantonale - la questione della capacità processuale del ricorrente quale amministratore provvisorio del patrimo nio della B.________ GmbH.</w:t>
      </w:r>
    </w:p>
    <w:p>
      <w:r>
        <w:rPr>
          <w:b/>
        </w:rPr>
        <w:t>E. 1.2</w:t>
      </w:r>
    </w:p>
    <w:p>
      <w:r>
        <w:t>Contrariamente a quanto ritiene il qui insorgente, quando, come in concreto, la vertenza concerne il riconoscimento e l'exequatur di una decisione estera, la cognizione del Tribunale federale non è limitata alla violazione di diritti costituzionali (v. art. 98 LTF ), qualunque sia la natura - cautelare o meno - dell'atto in discussione, e la parte ricorrente può quindi invocare i motivi di ricorso previsti agli art. 95 e 96 LTF (v. DTF 143 III 51 consid. 2.3 con rinvii).</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 A meno che non ne dia motivo la decisione impugnata, il Tribunale federale non tiene conto di fatti o mezzi di prova nuovi ( art. 99 cpv. 1 LTF ).</w:t>
      </w:r>
    </w:p>
    <w:p>
      <w:r>
        <w:rPr>
          <w:b/>
        </w:rPr>
        <w:t>E. 2.1</w:t>
      </w:r>
    </w:p>
    <w:p>
      <w:r>
        <w:t>Possono essere riconosciute e dichiarate esecutive in Svizzera le decisioni emesse in uno Stato vincolato dalla CLug (art. 33 cpv. 1 e 38 cpv. 1 CLug), nel medesimo esecutive ( art. 38 cpv. 1 CLug ) e concernenti una materia rientrante nel campo di applicazione della medesima ( art. 1 CLug ; v. DTF 146 III 157 consid. 6.2). Ai fini della CLug, con "decisione" si intende, a prescindere dalla denominazione usata, qualsiasi decisione emessa da un giudice di uno Stato vincolato dalla convenzione, quale ad esempio decreto, sentenza, ordinanza o mandato di esecuzione, nonché la determinazione delle spese giudiziali da parte del cancelliere ( art. 32 CLug ). Anche provvedimenti cautelari costituiscono in linea di principio decisioni ai sensi dell' art. 32 CLug (v. DTF 143 III 693 consid. 3.1). Non sono tuttavia riconoscibili ed eseguibili in forza della convenzione i provvedimenti cautelari resi senza che la parte contro cui si rivolgono sia stata citata a comparire e destinati a essere eseguiti senza essere stati prima notificati a detta parte (v. DTF 139 III 232 consid. 2, con rinvio alla DTF 129 III 626 consid. 5.2.1 e alla sentenza del 21 maggio 1980 125/79 Denilauler [Racc. 1980 pag. 1553] della Corte di giustizia delle Comunità europee [CGCE]; v. anche sentenza 5A_752/2014 del 21 agosto 2015 consid. 2.4) e nemmeno i provvedimenti cautelari che non hanno potuto essere preceduti da un'istruzione in contraddittorio nello Stato d'origine al momento dell'istanza volta a ottenerne il riconoscimento e l'esecutività nello Stato richiesto (v. anche art. 34 n. 2 CLug ; v. DTF 129 III 626 consid. 5.2.2, precisata nella sentenza 4P.331/2005 del 1° marzo 2006 consid. 7.4-7.6; 135 III 670 consid. 3.1.2; sul tema v. SEJEE PHURTAG, Vorsorgliche Massnahmen im internationalen Zivilprozessrecht, 2019, n. 631-651; FAVALLI/AUGSBURGER, in Basler Kommentar, Lugano-Übereinkommen, 2a ed. 2016, n. 207 segg. ad art. 31 CLug ; SCHULER/MARUGG, in Basler Kommentar, Lugano-Übereinkommen, 2a ed. 2016, n. 30 ad art. 32 CLug ; DOMEJ/OBERHAMMER, in Lugano-Übereinkommen zum internationalen Zivilverfahrensrecht, Kommentar, 2011, n. 11 seg. ad art. 32 CLug ; ANDREAS BUCHER, in Commentaire romand, Loi sur le droit international privé - Convention de Lugano, 2011, n. 14-16 ad art. 31 CLug , e n. 9 ad art. 32 CLug ; STEFAN LEIBLE, in Europäisches Zivilprozess- und Kollisionsrechts EuZPR/EuIPR, Kommentar, 2011, n. 36-36b ad art. 31 Regolamento [CE] 44/2001, e n. 12-12a ad art. 32 Regolamento [CE] 44/2001). Nell'appena menzionata sentenza 4P.331/2005 il Tribunale federale ha confermato una decisione cantonale che aveva negato di riconoscere e dichiarare esecutivo in Svizzera un provvedimento inglese, reso inaudita altera parte, in ragione del poco tempo messo a disposizione del convenuto domiciliato in Svizzera per opporsi a tale provvedimento nel quadro di una procedura in contraddittorio in Inghilterra prima dell'inoltro dell'istanza di riconoscimento ed exequatur (in concreto cinque giorni lavorativi a contare della notifica del provvedimento).</w:t>
      </w:r>
    </w:p>
    <w:p>
      <w:r>
        <w:rPr>
          <w:b/>
        </w:rPr>
        <w:t>E. 2.2</w:t>
      </w:r>
    </w:p>
    <w:p>
      <w:r>
        <w:t>Nella presente fattispecie la Corte cantonale, fondandosi proprio sulla sentenza 4P.331/2005, ha ritenuto che l' Arrestbefehl 21 agosto 2019, reso inaudita altera parte, non possa essere riconosciuto e dichiarato esecutivo in Svizzera. Secondo i Giudici cantonali, il qui ricorrente non ha infatti dimostrato che l' Arrestbefehl sarebbe stato trasmesso all'opponente già ad inizio settembre 2019 tramite lo studio legale F.________ di Stoccarda, il quale, pur figurando sull'ordine di sequestro, non era in realtà il rappresentante dell'opponente in quella procedura (ciò che il tribunale tedesco ha poi rettificato con Beschluss 10 settembre 2019) e nemmeno risultava essere il suo studio legale di appoggio. Per la Corte cantonale, inoltre, se la consegna dell' Arrestbefehl all'opponente in occasione di un suo interrogatorio davanti alle autorità penali degli Emirati Arabi Uniti in data 23 settembre 2019 può valere quale notifica giusta il diritto procedurale tedesco, resta il fatto che il ricorrente non ha dimostrato che i tre giorni lavorativi avuti a disposizione dall'opponente prima della presentazione dell'istanza di riconoscimento ed exequatur in Svizzera in data 27 settembre 2019 sarebbero stati sufficienti per far valere i suoi diritti in Germania, considerata anche la distanza geografica tra tale Paese e gli Emirati Arabi Uniti (dove l'opponente è domiciliato). Secondo i Giudici cantonali, le circostanze addotte dal ricorrente (come il fatto che l'opponente avrebbe partecipato alla spoliazione della B.________ GmbH, conseguendo un indebito profitto, e si troverebbe quindi al centro di procedimenti penali in varie nazioni e sarebbe già stato oggetto di sequestri, oppure il fatto che egli sarebbe scappato negli Emirati Arabi Uniti, Paese con cui la Germania non ha nessun accordo relativo alla notifica di atti giudiziari) sono per la maggior parte non dimostrate e prive di rilevanza sul tema, e non permettono quindi né di fare astrazione dalla predetta giurisprudenza del Tribunale federale né di ritenere abusivo l'attuale comportamento dell'opponente.</w:t>
      </w:r>
    </w:p>
    <w:p>
      <w:r>
        <w:rPr>
          <w:b/>
        </w:rPr>
        <w:t>E. 2.3</w:t>
      </w:r>
    </w:p>
    <w:p>
      <w:r>
        <w:t>Il ricorrente non contesta la prassi contenuta nella già menzionata sentenza 4P.331/2005, ma considera che i Giudici cantonali non avrebbero dovuto applicarla tenuto conto delle circostanze del caso concreto. A suo dire, i legali di Stoccarda avrebbero infatti "sicuramente" avvisato l'opponente dell' Arrestbefehl trasmesso loro ad agosto 2019 e, anche ammettendo che la notifica sarebbe invece avvenuta soltanto in data 23 settembre 2019 per il tramite delle autorità penali degli Emirati Arabi Uniti, l'opponente avrebbe comunque potuto sfruttare le ampie possibilità di contestare l'ordine dl sequestro in Germania, ma non lo avrebbe finora fatto, "né con un "Widerspruch" (possibile in ogni momento) né con una "Beschwerde" (con un termine di 6 mesi) ". Secondo il ricorrente, l'atteggiamento dell'opponente sarebbe poi manifestamente abusivo e contrario alla buona fede, considerato che egli, "al fine di sottrarsi agli atti giudiziari dei numerosi procedimenti civili e penali che lo coinvolgono", avrebbe adottato "una strategia di patrocinio a geometria variabile" conferendo "procure con limitazioni a determinati procedimenti e l'esclusione di determinati altri" e sarebbe "scappato negli Emirati Arabi Uniti, paese con cui la Germania non ha nessun accordo (bilaterale o multilaterale) relativo alla notifica di atti giudiziari", abuso evidente "anche alla luce della fattispecie a monte della procedura di sequestro" nella quale l'opponente "ha partecipato alla spoliazione della B.________ GmbH, conseguendo un indebito profitto". Il ricorrente ritiene inoltre che il suo diritto di essere sentito sarebbe stato violato, poiché i Giudici cantonali avrebbero tralasciato di prendere in considerazione tali circostanze e i relativi mezzi di prova da lui fatti valere in sede cantonale.</w:t>
      </w:r>
    </w:p>
    <w:p>
      <w:r>
        <w:rPr>
          <w:b/>
        </w:rPr>
        <w:t>E. 2.4</w:t>
      </w:r>
    </w:p>
    <w:p>
      <w:r>
        <w:t>Come visto, il ricorrente ribadisce che l' Arrestbefehl sarebbe stato notificato all'opponente già prima del 23 settembre 2019, ma omette di compiutamente misurarsi con l'argomento dei Giudici cantonali secondo cui egli non è stato in grado di dimostrarlo. Ritenendo che tre giorni lavorativi non permettevano all'opponente, domiciliato negli Emirati Arabi Uniti, di far valere i suoi diritti nell'ambito di una procedura in contraddittorio in Germania prima dell'inoltro, in data 27 settembre 2019, dell'istanza di riconoscimento ed exequatur in Svizzera, la Corte cantonale ha pertanto correttamente applicato la giurisprudenza del Tribunale federale. Il fatto che l'opponente non avrebbe impugnato l' Arrestbefehl nemmeno in seguito, come riportato dall'insorgente, è una circostanza che non emerge dalla sentenza impugnata (senza che siano soddisfatte le esigenze che permettono al Tribunale federale di tenere conto di una fattispecie diversa da quella accertata dall'autorità inferiore; v. supra consid. 1.4) ed è in ogni modo irrilevante sotto il profilo della predetta giurisprudenza. Contrariamente a quanto pretende il ricorrente, la Corte cantonale ha tenuto conto dei suoi argomenti concernenti il comportamento dell'opponente, ma ha osservato che si fondavano su circostanze non dimostrate e che erano comunque insufficienti a far ritenere che quest'ultimo, nell'opporsi all'istanza, stesse commettendo un manifesto abuso di diritto (v. supra consid. 2.2). Nel rimedio all'esame, l'insorgente non si confronta a sufficienza con tale (doppia) motivazione: egli si limita infatti a riproporre, parola per parola, gli argomenti già esposti in sede cantonale e ad affermare di aver "ampiamente dimostrato il comportamento contrario alla buona fede" dell'opponente, senza nemmeno tentare di sostanziare un arbitrario accertamento dei fatti (v. supra consid. 1.4). Le censure ricorsuali, nella misura in cui possano dirsi sufficientemente motivate (v. supra consid. 1.3 e 1.4), risultano pertanto infondate: ritenendo che l' Arrestbefehl non possa essere riconosciuto e dichiarato esecutivo in Svizzera, i Giudici cantonali non hanno violato né la CLug né l' art. 2 CC , e nemmeno il diritto di essere sentito del ricorrente.</w:t>
      </w:r>
    </w:p>
    <w:p>
      <w:r>
        <w:rPr>
          <w:b/>
        </w:rPr>
        <w:t>E. 3</w:t>
      </w:r>
    </w:p>
    <w:p>
      <w:r>
        <w:t>Da quanto precede discende che il ricorso va respinto nella misura in cui è ammissibile. Con l'evasione del rimedio, la richiesta di conferire effetto sospensivo allo stesso diventa priva di oggetto. La richiesta di assistenza giudiziaria presentata dal ricorrente va respinta, facendo difetto fin dall'inizio il requisito delle probabilità di successo dell'impugnativa ( art. 64 cpv. 1 LTF ), ricordato peraltro che una massa fallimentare non può in linea di principio essere messa al beneficio dell'assistenza giudiziaria (v. DTF 143 I 328 consid. 3.1; 125 V 371 consid. 5c con rinvii). Le spese giudiziarie e le ripetibili (per le osservazioni dell'opponente sull'istanza di conferimento dell'effetto sospensivo al ricorso)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