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5A_460/2011 vom 7. Oktober 2011</w:t>
      </w:r>
    </w:p>
    <w:p>
      <w:r>
        <w:t>Bundesgericht, 2011-10-07, DE</w:t>
      </w:r>
    </w:p>
    <w:p>
      <w:r>
        <w:rPr>
          <w:b/>
        </w:rPr>
        <w:t xml:space="preserve">Quelle: </w:t>
      </w:r>
      <w:r>
        <w:t>https://mcp.opencaselaw.ch/entscheid/bger_5A_460_2011</w:t>
      </w:r>
    </w:p>
    <w:p>
      <w:r>
        <w:t>FR: TF 5A_460/2011 du 7 octobre 2011</w:t>
      </w:r>
    </w:p>
    <w:p>
      <w:r>
        <w:t>IT: TF 5A_460/2011 del 7 ottobre 2011</w:t>
      </w:r>
    </w:p>
    <w:p>
      <w:pPr>
        <w:pStyle w:val="Heading2"/>
      </w:pPr>
      <w:r>
        <w:t>Erwägungen</w:t>
      </w:r>
    </w:p>
    <w:p>
      <w:r>
        <w:rPr>
          <w:b/>
        </w:rPr>
        <w:t>E. 1</w:t>
      </w:r>
    </w:p>
    <w:p>
      <w:r>
        <w:t>Angefochten ist eine kantonal letztinstanzliche Verfügung ( Art. 75 Abs. 1 BGG ), mit der dem Beschwerdeführer die unentgeltliche Rechtspflege für das Rechtsmittelverfahren verweigert worden war. Dabei handelt es sich um einen Zwischenentscheid, der einen nicht wieder gutzumachenden Nachteil bewirken kann ( Art. 93 Abs. 1 lit. a BGG ; BGE 129 I 129 E. 1. S. 131). Bei Zwischenentscheiden folgt der Rechtsweg der Hauptsache ( BGE 133 III 645 E. 2.2 S. 647). Diese ist eine negative Feststellungsklage mit einem Antrag über der gesetzlichen Streitwertgrenze, welche letztinstanzlich mit Beschwerde in Zivilsachen beim Bundesgericht angefochten werden kann ( Art. 72 Abs. 2 lit. a und Art. 74 Abs. 1 lit. b BGG ). Gegen die obergerichtliche Verfügung ist daher die Beschwerde in Zivilsachen ebenso gegeben. Mit ihr kann eine Verletzung von Bundesrecht gerügt werden, zu welchem auch das Verfassungsrecht gehört ( Art. 95 lit. a BGG ).</w:t>
      </w:r>
    </w:p>
    <w:p>
      <w:r>
        <w:rPr>
          <w:b/>
        </w:rPr>
        <w:t>E. 2</w:t>
      </w:r>
    </w:p>
    <w:p>
      <w:r>
        <w:t>Anlass zur vorliegenden Beschwerde bildet die Abweisung des Gesuchs um unentgeltliche Rechtspflege für das Berufungsverfahren. Dieses erweise sich gemäss der angefochtenen Verfügung des Obergerichts als aussichtslos.</w:t>
      </w:r>
    </w:p>
    <w:p>
      <w:r>
        <w:rPr>
          <w:b/>
        </w:rPr>
        <w:t>E. 2.1</w:t>
      </w:r>
    </w:p>
    <w:p>
      <w:r>
        <w:t>Der Beschwerdeführer wirft dem Obergericht vorab vor, den entscheidwesentlichen Sachverhalt in seiner Verfügung unrichtig, da unvollständig im Sinne von Art. 97 BGG festgestellt zu haben. Zudem beruhe die vorinstanzliche Tatsachenfeststellung auf einer Rechtsverletzung im Sinne von Art. 95 BGG . In seiner Berufung gegen das erstinstanzliche Urteil vom 19. Januar 2011 habe er eine massgebliche Tatsache vorgebracht, welche unberücksichtigt geblieben sei. Dadurch habe das Obergericht sein rechtliches Gehör im Sinne von Art. 29 Abs. 2 BV verletzt.</w:t>
      </w:r>
    </w:p>
    <w:p>
      <w:r>
        <w:rPr>
          <w:b/>
        </w:rPr>
        <w:t>E. 2.2</w:t>
      </w:r>
    </w:p>
    <w:p>
      <w:r>
        <w:t>Gemäss Art. 29 Abs. 2 BV hat der Betroffene das Recht, sich vor Erlass eines in seine Rechtsstellung eingreifenden Entscheides zu äussern, Beweise beizubringen, Einsicht in die Akten zu nehmen und zum Beweisergebnis zu äussern. Diesem persönlichen Mitwirkungsrecht entspricht die Pflicht der Behörde, die entscheidwesentlichen Argumente und Verfahrensanträge der Partei, tatsächlich zu hören, zu prüfen und zu berücksichtigen ( BGE 124 I 241 E. 2 S. 242).</w:t>
      </w:r>
    </w:p>
    <w:p>
      <w:r>
        <w:rPr>
          <w:b/>
        </w:rPr>
        <w:t>E. 2.3</w:t>
      </w:r>
    </w:p>
    <w:p>
      <w:r>
        <w:t>Konkret geht es um den Hinweis des Beschwerdeführers auf das Telefongespräch des Mitarbeiters seines Rechtsvertreters, seinerseits Rechtsanwalt, mit der Gerichtsschreiberin des Bezirksgerichts vom 13. Dezember 2010. Nach kanzleiinternen Abklärungen sei dem Anrufer mitgeteilt worden, dass das Bezirksgericht dem Kläger nach einer allfälligen Abweisung seiner Beschwerde gegen die Nichtgewährung der unentgeltlichen Rechtspflege im Hauptverfahren eine neue Frist für die Leistung des Kostenvorschusses ansetzen werde. Den Inhalt dieses Gespräches habe er im Schreiben vom gleichen Tag an das Bezirksgericht festgehalten. Darauf habe das Obergericht in der nunmehr angefochtenen Verfügung mit keinem Wort Bezug genommen. Stattdessen sei es davon ausgegangen, dass die Säumnisfolgen für die Nichtleistung des Kostenvorschusses eingetreten und die Erstinstanz damit höchstwahrscheinlich zu Recht auf die Klage nicht eingetreten sei. Die dagegen erhobene Berufung erscheine folglich als aussichtslos, was zur Abweisung des Gesuchs um unentgeltliche Rechtspflege für das Berufungsverfahren führe.</w:t>
      </w:r>
    </w:p>
    <w:p>
      <w:r>
        <w:rPr>
          <w:b/>
        </w:rPr>
        <w:t>E. 2.4</w:t>
      </w:r>
    </w:p>
    <w:p>
      <w:r>
        <w:t>Aus dem Schreiben des Klägers an das Bezirksgericht vom 13. Dezember 2010, welches sich in den kantonalen Akten befindet, geht hervor, dass gemäss Auskunft der Gerichtsschreiberin die am 15. Dezember 2010 ablaufende Frist zur Leistung des Kostenvorschusses durch die Einreichung der Beschwerde gegen die Verweigerung der unentgeltlichen Rechtspflege hinfällig sei. Sollte das Obergericht die Beschwerde abweisen, werde eine neue Frist angesetzt. Wie es sich damit nach dem seinerzeitigen kantonalen Verfahrensrecht verhält und unter welchen Voraussetzungen eine Partei sich auf eine allenfalls nicht zutreffende Auskunft verlassen darf, kann an dieser Stelle offen bleiben. Entscheidend ist einzig, dass die Vorinstanz bei der Prüfung der Prozesschancen einer Berufung auf die genannte Auskunft des Gerichts nicht eingegangen ist. Damit hat sie ein hierfür massgebliches Vorbringen übergangen und den Gehörsanspruch des Beschwerdeführers verletzt. Dies führt zur Gutheissung der Beschwerde, ohne dass die weiteren Rügen zu prüfen sind.</w:t>
      </w:r>
    </w:p>
    <w:p>
      <w:r>
        <w:rPr>
          <w:b/>
        </w:rPr>
        <w:t>E. 3</w:t>
      </w:r>
    </w:p>
    <w:p>
      <w:r>
        <w:t>Nach dem Dargelegten ist der Beschwerde Erfolg beschieden und die angefochtene Verfügung ist aufzuheben. Der Kanton Aargau hat keine Kosten zu tragen, muss aber den Beschwerdeführer für das Verfahren vor Bundesgericht entschädigen ( Art. 66 Abs. 4 und Art. 68 Abs. 2 BGG ). Das Gesuch des Beschwerdeführers um Gewährung der unentgeltlichen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