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45/2014 vom 28. März 2014</w:t>
      </w:r>
    </w:p>
    <w:p>
      <w:r>
        <w:t>Bundesgericht, 2014-03-28, DE</w:t>
      </w:r>
    </w:p>
    <w:p>
      <w:r>
        <w:rPr>
          <w:b/>
        </w:rPr>
        <w:t xml:space="preserve">Quelle: </w:t>
      </w:r>
      <w:r>
        <w:t>https://mcp.opencaselaw.ch/entscheid/bger_5A_45_2014</w:t>
      </w:r>
    </w:p>
    <w:p>
      <w:r>
        <w:t>FR: TF 5A 45/2014 du 28 mars 2014</w:t>
      </w:r>
    </w:p>
    <w:p>
      <w:r>
        <w:t>IT: TF 5A 45/2014 del 28 marzo 2014</w:t>
      </w:r>
    </w:p>
    <w:p>
      <w:pPr>
        <w:pStyle w:val="Heading2"/>
      </w:pPr>
      <w:r>
        <w:t>Regeste</w:t>
      </w:r>
    </w:p>
    <w:p>
      <w:r>
        <w:t>vorsorgliche Massnahme (Absetzung des Willensvollstreckers) | Erbrecht</w:t>
      </w:r>
    </w:p>
    <w:p>
      <w:pPr>
        <w:pStyle w:val="Heading2"/>
      </w:pPr>
      <w:r>
        <w:t>Erwägungen</w:t>
      </w:r>
    </w:p>
    <w:p>
      <w:r>
        <w:rPr>
          <w:b/>
        </w:rPr>
        <w:t>E. 1</w:t>
      </w:r>
    </w:p>
    <w:p>
      <w:r>
        <w:t>Die Aufsicht über den Willensvollstrecker fällt in den Anwendungsbereich der Beschwerde in Zivilsachen (Art. 72 Abs. 2 lit. b Ziff. 5 BGG) und angefochten ist ein kantonal letztinstanzlicher Entscheid ( Art. 75 Abs. 1 BGG ). Indes geht es nicht um einen End-, sondern um einen selbständigen Zwischenentscheid, der nur ausnahmsweise anfechtbar ist, u.a. wenn er einen nicht wieder gutzumachenden Nachteil bewirken kann ( Art. 93 Abs. 1 lit. a BGG ). Dieser muss rechtlicher Natur sein, was voraussetzt, dass er nicht bloss tatsächlicher Art ist und dass er sich auch mit einem späteren günstigen Endentscheid nicht beseitigen lässt ( BGE 137 III 380 E. 1.2.1 S. 382; 138 III 190 E. 6 S. 192). Der Beschwerdeführer beruft sich auf einen solchen Nachteil. Er macht geltend, faktisch kaltgestellt und handlungsunfähig zu werden, obwohl er weiter für den Nachlass verantwortlich sei. Es sei fast unmöglich, die Zustimmung sämtlicher Erben einzuholen, weil sie untereinander zerstritten seien, so dass womöglich laufende Rechnungen (z.B. Miete, Strom, Wasser, etc.) nicht bezahlt werden könnten und er sich zivilrechtlich haftbar mache. Im Zusammenhang mit der Sache selbst machter geltend, dass der erblasserische Wille und die gesetzlichen Befugnisse des Willensvollstreckers ausgehebelt würden, wenn er bzw. seine Handlungen von der Zustimmung der Erben abhängig sein sollten. Sodann seien alle seine Aufwendungen notwendig und belegt. Weil über allfällige Honorarstreitigkeiten der Zivilrichter und nicht die Aufsichtsbehörde zu entscheiden habe, sei seine Rechtsweggarantie verletzt ( Art. 29a und Art. 30 Abs. 1 BV ). Im Übrigen sei der angefochtene Entscheid nicht fundiert begründet ( Art. 29 Abs. 2 BV ) und in jeder Hinsicht willkürlich ( Art. 9 BV ). Mit dieser Begründung ist kein nicht wieder gutzumachender Nachteil rechtlicher Natur dargetan: Zerstritten sind die Erben in der Sache selbst, d.h. in Bezug auf die Bewertung von Nachlassgegenständen und die Frage des Ausgleiches von behaupteten Vorempfängen bzw. Vermögensverschiebungen. Hingegen werden keine konkreten Anhaltspunkte vorgebracht, dass sie der allenfalls notwendigen Begleichung laufender und unbestrittener Ausgaben - was offensichtlich im Interesse aller wäre - nicht zustimmen würden. Falls dieser Fall trotzdem einträte, könnte ohne Weiteres eine richterliche Bewilligung bzw. eine entsprechende Modifikation der angefochtenen Verfügung verlangt werden. Überdies ist nicht zu sehen, inwiefern sich der Beschwerdeführer zivilrechtlich haftbar machen würde, wenn er infolge eines richterlichen Verbotes und mangels Zustimmung der Erben gehindert wäre, notwendige laufende Ausgaben einstweilig zu tätigen. Ebenso wenig ist ein nicht wieder gutzumachender Nachteil im Zusammenhang mit der Honorierung zu sehen. Entgegen der sinngemässen Darstellung des Beschwerdeführers hat die Aufsichtsbehörde keine Aussagen über die Berechtigung der bereits bezogenen und der für die Zukunft geschätzten Honorare gemacht. Sie hat auch nicht indirekt über die Honorierung entschieden, indem sie dem Willensvollstrecker einstweilig untersagt hat, sich oder seine Hilfspersonen über die erblasserischen Vorgaben hinaus durch weitere Bezüge aus der Erbmasse eigenmächtig - d.h. ohne Zustimmung der Erben oder richterliche Ermächtigung zum Bezug von Vorschüssen - zu entlöhnen (vgl. zu dieser heiklen Frage: WOLF, in: SPR IV/1, S. 344 oben; KÜNZLE, in: Berner Kommentar, N. 408 zu Art. 517-518 ZGB ), ist doch doch mit dieser vorläufigen Anordnung weder die Frage, nach welchen Grundsätzen und Modalitäten die Aufwendungen abzurechnen sind, noch die diesbezügliche Entscheidzuständigkeit in irgendeiner Weise präjudiziert. Insgesamt ergibt sich, dass weder für den Willensvollstrecker noch für den Nachlass nicht wieder gutzumachende Nachteile ersichtlich sind und folglich auf die Beschwerde gegen die Zwischenverfügung nicht einzutreten ist.</w:t>
      </w:r>
    </w:p>
    <w:p>
      <w:r>
        <w:rPr>
          <w:b/>
        </w:rPr>
        <w:t>E. 2</w:t>
      </w:r>
    </w:p>
    <w:p>
      <w:r>
        <w:t>Bei diesem Verfahrensausgang sind die Gerichtskosten dem Beschwerdeführer aufzuerlegen ( Art. 66 Abs. 1 BGG ). Den Erben ist durch den vorliegenden Entscheid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