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5A_457/2020 vom 9. Juni 2020</w:t>
      </w:r>
    </w:p>
    <w:p>
      <w:r>
        <w:t>Bundesgericht, 2020-06-09, DE</w:t>
      </w:r>
    </w:p>
    <w:p>
      <w:r>
        <w:rPr>
          <w:b/>
        </w:rPr>
        <w:t xml:space="preserve">Quelle: </w:t>
      </w:r>
      <w:r>
        <w:t>https://mcp.opencaselaw.ch/entscheid/bger_5A_457_2020</w:t>
      </w:r>
    </w:p>
    <w:p>
      <w:r>
        <w:t>FR: TF 5A_457/2020 du 9 juin 2020</w:t>
      </w:r>
    </w:p>
    <w:p>
      <w:r>
        <w:t>IT: TF 5A_457/2020 del 9 giugno 2020</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Diesbezüglich müsste die Beschwerdeführerin in gedrängter Form darlegen, inwiefern der angefochtene Entscheid Recht verletzt ( Art. 42 Abs. 2 BGG ), und sich dazu auch sachbezogen mit dessen Begründung auseinandersetzen ( BGE 140 III 115 E. 2 S. 116; 142 III 364 E. 2.4 S. 368).</w:t>
      </w:r>
    </w:p>
    <w:p>
      <w:r>
        <w:rPr>
          <w:b/>
        </w:rPr>
        <w:t>E. 2</w:t>
      </w:r>
    </w:p>
    <w:p>
      <w:r>
        <w:t>Eine solche Darlegung erfolgt nicht. Soweit die Ausführungen inhaltlich und sprachlich nachvollziehbar sind, äussert sich die Beschwerdeführerin zur Informationspflicht des Ehemannes und zur Sozialhilfe, welche mangels Unterhaltsleistung und Möglichkeit eigener Erwerbstätigkeit erforderlich sei; ferner wird sinngemäss festgehalten, dass das Novenverbot auch für das Beschwerdeverfahren betreffend unentgeltliche Rechtspflege gelte, sie aber alle Vorgaben eingehalten habe. Damit ist nicht darzutun, inwiefern die Nichteintretenserwägungen des angefochtenen Entscheides rechtsfehlerhaft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