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5A_457/2010 vom 11. Oktober 2010</w:t>
      </w:r>
    </w:p>
    <w:p>
      <w:r>
        <w:t>Bundesgericht, 2010-10-11, FR</w:t>
      </w:r>
    </w:p>
    <w:p>
      <w:r>
        <w:rPr>
          <w:b/>
        </w:rPr>
        <w:t xml:space="preserve">Quelle: </w:t>
      </w:r>
      <w:r>
        <w:t>https://mcp.opencaselaw.ch/entscheid/bger_5A_457_2010</w:t>
      </w:r>
    </w:p>
    <w:p>
      <w:r>
        <w:t>FR: TF 5A_457/2010 du 11 octobre 2010</w:t>
      </w:r>
    </w:p>
    <w:p>
      <w:r>
        <w:t>IT: TF 5A_457/2010 del 11 ottobre 2010</w:t>
      </w:r>
    </w:p>
    <w:p>
      <w:pPr>
        <w:pStyle w:val="Heading2"/>
      </w:pPr>
      <w:r>
        <w:t>Erwägungen</w:t>
      </w:r>
    </w:p>
    <w:p>
      <w:r>
        <w:rPr>
          <w:b/>
        </w:rPr>
        <w:t>E. 1.1</w:t>
      </w:r>
    </w:p>
    <w:p>
      <w:r>
        <w:t>Le recours a été déposé en temps utile ( art. 100 al. 1 LTF ) contre une décision finale ( art. 90 LTF ) qui a confirmé, en dernière instance cantonale ( art. 75 LTF ), l'interdiction du recourant (art. 72 al. 2 let. b ch. 6 LTF).</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Il ne connaît de la violation de droits fondamentaux ou du droit cantonal que si ce grief a été dûment invoqué et motivé par le recourant ( art. 106 al. 2 LTF ), c'est-à-dire s'il a été expressément soulevé et exposé de manière claire et détaillée ( ATF 134 II 349 consid. 3 p. 352). Enfin, le recourant doit observer la règle de l'épuisement des instances cantonales ( art. 75 al. 1 LTF ), qui signifie, en particulier, que seuls sont admissibles en instance fédérale les moyens qui, pouvant l'être, ont été soumis à l'autorité cantonale de dernière instance ( ATF 135 III 424 consid. 2.3; 134 III 524 consid. 1.3 et les citations).</w:t>
      </w:r>
    </w:p>
    <w:p>
      <w:r>
        <w:rPr>
          <w:b/>
        </w:rPr>
        <w:t>E. 1.3</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135 III 127 consid. 1.5 et 397 consid. 1.5) - ou en violation du droit au sens de l' art. 95 LTF ( art. 105 al. 2 LTF ). Le recourant qui entend s'écarter des constatations de l'autorité cantonale doit exposer de façon circonstanciée en quoi les exceptions prévues par l' art. 105 al. 2 LTF seraient réalisées, faute de quoi on ne saurait tenir compte d'un état de fait qui diverge de celui qui figure dans la décision attaquée ( ATF 133 III 462 consid. 2.4; 133 IV 150 consid. 1.3). Les faits nouveaux et les preuves nouvelles sont exclus, à moins de résulter de la décision de l'autorité précédente ( art. 99 al. 1 LTF ).</w:t>
      </w:r>
    </w:p>
    <w:p>
      <w:r>
        <w:rPr>
          <w:b/>
        </w:rPr>
        <w:t>E. 2</w:t>
      </w:r>
    </w:p>
    <w:p>
      <w:r>
        <w:t>Le recourant soutient que l'autorité précédente a violé à un double titre son droit d'être entendu, garanti par l' art. 29 al. 2 Cst. : d'une part, en omettant de l'entendre personnellement et en se fondant sur une expertise (du 9 novembre 2009) établie sans qu'il se soit entretenu avec l'expert, ainsi que sur des documents résultant d'une procédure pénale «quasiment concomitante»; d'autre part, en ne lui permettant pas de s'exprimer sur l'expertise en question.</w:t>
      </w:r>
    </w:p>
    <w:p>
      <w:r>
        <w:rPr>
          <w:b/>
        </w:rPr>
        <w:t>E. 2.1</w:t>
      </w:r>
    </w:p>
    <w:p>
      <w:r>
        <w:t>Le droit d'être entendu, découlant de l' art. 29 al. 2 Cst. ,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de décisions qui touchent à sa situation juridique ( ATF 135 II 286 consid. 5.1; 135 I 187 consid. 2.2 et la jurisprudence citée dans ces arrêts).</w:t>
      </w:r>
    </w:p>
    <w:p>
      <w:r>
        <w:t>Le droit à l'audition de la personne à interdire découle en revanche de l' art. 374 al. 1 CC (cf. sur les relations entre cette disposition et l' art. 29 al. 2 Cst. : ATF 96 II 15 ss). Bien que la loi ne pose cette exigence que pour les cas d'interdiction fondés sur l' art. 370 CC , elle vaut également, d'après la jurisprudence, en cas d'interdiction pour cause de maladie mentale ou de faiblesse d'esprit ( ATF 117 II 379 consid. 2 et les arrêts cités). L'audition n'est pas seulement un droit inhérent à la défense de l'intéressé, mais constitue en outre un moyen pour l'autorité d'élucider d'office les faits et de se forger un avis personnel tant sur la disposition mentale de la personne concernée que sur la nécessité d'ordonner ou de maintenir la mesure tutélaire ( ATF 117 II 379 consid. 2, avec les citations). La personne à interdire doit pouvoir se déterminer sur tous les faits essentiels qui pourraient conduire à son interdiction ( ATF 96 II 15 ).</w:t>
      </w:r>
    </w:p>
    <w:p>
      <w:r>
        <w:t>Une exception est prévue dans l'hypothèse où une expertise médicale déclare l'audition de l'intéressé inadmissible ( art. 374 al. 2 CC ). L'expert ne doit pas se prononcer sur l'utilité de l'audition, mais uniquement sur son admissibilité d'un point de vue médical; en d'autres termes, il doit dire si l'audition est de nature à provoquer un dommage à la santé chez l'intéressé (Schnyder/Murer, in: Berner Kommentar, 3e éd., 1984, n° 81 ad art. 374 CC ; Deschenaux/Steinauer, Personnes physiques et tutelle, 4e éd., 2001, n° 902a; Geiser, in: Basler Kommentar, ZGB I, 3e éd., 2006, n° 7 ad art. 374 CC ).</w:t>
      </w:r>
    </w:p>
    <w:p>
      <w:r>
        <w:rPr>
          <w:b/>
        </w:rPr>
        <w:t>E. 2.2</w:t>
      </w:r>
    </w:p>
    <w:p>
      <w:r>
        <w:t>En l'occurrence, s'agissant de la critique adressée à l'expertise, le recourant s'écarte d'une manière inadmissible des faits constatés par la juridiction précédente, dont il ressort que - contrairement à ce qu'il affirme - l'expert s'est entretenu avec lui lors d'une entrevue au cours de laquelle il s'était montré «opposant», injuriant ensuite l'expert avant de refuser de poursuivre la discussion et de le revoir. Le recourant ne saurait en outre se plaindre de ce que, dans l'élaboration de l'expertise, d'autres éléments versés au dossier ont été pris en compte, à savoir ceux qui ressortent de la procédure pénale dirigée contre lui, dont le dossier a été produit, dans le cadre de laquelle l'expert s'était entretenu une «bonne dizaine d'heures» avec lui. Sous cet angle, le grief est dès lors mal fondé.</w:t>
      </w:r>
    </w:p>
    <w:p>
      <w:r>
        <w:rPr>
          <w:b/>
        </w:rPr>
        <w:t>E. 2.3</w:t>
      </w:r>
    </w:p>
    <w:p>
      <w:r>
        <w:t>Quant au grief tiré de l'absence d'audition personnelle, il ne ressort pas de la décision entreprise qu'il aurait été soulevé devant l'autorité précédente, de sorte qu'il ne peut pas être pris en considération faute d'épuisement des instances cantonales ( art. 75 al. 1 LTF ). Quoi qu'il en soit, l'expert lui-même avait indiqué - sans que cette appréciation ne soit contestée - que, en raison de son «état clinique», l'audition du recourant par le Tribunal tutélaire n'était pas admissible (art. 374 al. 2 in fine CC).</w:t>
      </w:r>
    </w:p>
    <w:p>
      <w:r>
        <w:rPr>
          <w:b/>
        </w:rPr>
        <w:t>E. 2.4</w:t>
      </w:r>
    </w:p>
    <w:p>
      <w:r>
        <w:t>Enfin, l'affirmation du recourant selon laquelle, en violation de son «droit de réplique», il n'aurait jamais reçu communication de l'expertise du 9 novembre 2009 ne résiste pas à l'examen. Son mandataire, à qui l'expertise a été valablement notifiée, a pu s'exprimer à cet égard en déposant ses «conclusions après enquêtes et expertises» le 19 février 2010. De surcroît, le grief, autant qu'il est suffisamment motivé, s'avère aussi irrecevable faute d'avoir été dûment soulevé devant la juridiction précédente ( art. 75 al. 1 LTF ).</w:t>
      </w:r>
    </w:p>
    <w:p>
      <w:r>
        <w:rPr>
          <w:b/>
        </w:rPr>
        <w:t>E. 3</w:t>
      </w:r>
    </w:p>
    <w:p>
      <w:r>
        <w:t>Le recourant se plaint, en outre, d'une constatation arbitraire des faits résultant de la violation de son droit d'être entendu et renvoie à l'argumentation développée à ce sujet dans son mémoire d'appel cantonal.</w:t>
      </w:r>
    </w:p>
    <w:p>
      <w:r>
        <w:t>Le moyen - qui repose au demeurant sur un grief de violation du droit d'être entendu infondé (supra, consid. 2) - est d'emblée irrecevable; le recourant est en effet tenu d'exposer de manière claire et détaillée en quoi l'autorité précédente aurait violé l' art. 9 Cst. (supra, consid. 1.2), un simple renvoi aux écritures de la procédure cantonale n'étant pas admissible ( ATF 134 I 303 consid. 1.3 p. 306).</w:t>
      </w:r>
    </w:p>
    <w:p>
      <w:r>
        <w:rPr>
          <w:b/>
        </w:rPr>
        <w:t>E. 4</w:t>
      </w:r>
    </w:p>
    <w:p>
      <w:r>
        <w:t>Le recourant dénonce enfin une violation du principe de la bonne foi ( art. 9 Cst. ) et du droit à un procès équitable ( art.29 al. 1 Cst. ; art. 5 et 6 CEDH ). En substance, il fait valoir que son précédent mandataire, Me Y.________, s'est dans un premier temps engagé à recourir contre l'ordonnance du Tribunal tutélaire du 23 février 2010, avant de changer d'avis deux jours avant l'échéance du délai d'appel, ce qui l'a contraint à déposer lui-même le recours; le nouveau conseil, Me Z.________, a été nommé le 19 mai 2010, c'est-à-dire deux jours avant que ne soit rendu l'arrêt entrepris, de sorte que son nouvel avocat n'a pas pu défendre efficacement ses intérêts.</w:t>
      </w:r>
    </w:p>
    <w:p>
      <w:r>
        <w:t>Il faut relever d'emblée que l'argumentation du recourant se fonde sur des éléments non constatés par l'arrêt attaqué ( art. 105 al. 1 LTF ). Par ailleurs, le recourant se contente d'invoquer de manière générale une «violation du droit à un procès équitable» en présentant sa propre version du déroulement de la procédure, sans développer plus avant son moyen en relation avec les divers droits fondamentaux prétendument violés. A supposer qu'il soit suffisamment motivé ( art. 106 al. 2 LTF ), le grief serait de toute façon mal fondé. Au stade de la procédure où se trouvait la cause au moment de la désignation du nouveau conseil, les intéressés n'étaient plus invités à intervenir avant qu'il ne soit statué sur l'appel. La désignation d'un mandataire pouvait, certes, s'avérer utile aux fins d'examiner la décision sur appel et d'apprécier l'opportunité de former un recours au Tribunal fédéral; or, un tel recours a précisément été déposé par le recourant.</w:t>
      </w:r>
    </w:p>
    <w:p>
      <w:r>
        <w:rPr>
          <w:b/>
        </w:rPr>
        <w:t>E. 5</w:t>
      </w:r>
    </w:p>
    <w:p>
      <w:r>
        <w:t>En conclusion, le présent recours doit être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