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455/2010 vom 16. August 2010</w:t>
      </w:r>
    </w:p>
    <w:p>
      <w:r>
        <w:t>Bundesgericht, 2010-08-16, DE</w:t>
      </w:r>
    </w:p>
    <w:p>
      <w:r>
        <w:rPr>
          <w:b/>
        </w:rPr>
        <w:t xml:space="preserve">Quelle: </w:t>
      </w:r>
      <w:r>
        <w:t>https://mcp.opencaselaw.ch/entscheid/bger_5A_455_2010</w:t>
      </w:r>
    </w:p>
    <w:p>
      <w:r>
        <w:t>FR: TF 5A 455/2010 du 16 août 2010</w:t>
      </w:r>
    </w:p>
    <w:p>
      <w:r>
        <w:t>IT: TF 5A 455/2010 del 16 agosto 2010</w:t>
      </w:r>
    </w:p>
    <w:p>
      <w:pPr>
        <w:pStyle w:val="Heading2"/>
      </w:pPr>
      <w:r>
        <w:t>Regeste</w:t>
      </w:r>
    </w:p>
    <w:p>
      <w:r>
        <w:t>vorsorgliche Massnahmen | Familienrecht</w:t>
      </w:r>
    </w:p>
    <w:p>
      <w:pPr>
        <w:pStyle w:val="Heading2"/>
      </w:pPr>
      <w:r>
        <w:t>Erwägungen</w:t>
      </w:r>
    </w:p>
    <w:p>
      <w:r>
        <w:rPr>
          <w:b/>
        </w:rPr>
        <w:t>E. 1.1.1</w:t>
      </w:r>
    </w:p>
    <w:p>
      <w:r>
        <w:t>Der Entscheid des Bezirksgerichts C.________ vom 24. Juni 2005 betrifft vor Rechtshängigkeit des Ehescheidungsverfahrens erlassene Eheschutzmassnahmen. Abgesehen davon, dass die Beschwerdefrist nach Art. 100 Abs. 1 BGG längst abgelaufen ist, handelt es sich nicht um einen Entscheid der letzten kantonalen Instanz ( Art. 75 Abs. 1 BGG ), so dass auf die mit der Eingabe vom 19. Juni 2010 dagegen erhobene Beschwerde nicht eingetreten werden kann.</w:t>
      </w:r>
    </w:p>
    <w:p>
      <w:r>
        <w:rPr>
          <w:b/>
        </w:rPr>
        <w:t>E. 1.1.2</w:t>
      </w:r>
    </w:p>
    <w:p>
      <w:r>
        <w:t>Der Beschwerdeführer ficht auch den Entscheid des Obergerichts vom 23. Juli 2009 an, mit welchem dieses nicht auf nach Ablauf der Rechtsmittelfrist gestellte Begehren eingetreten ist. Er bezeichnet, wie im Übrigen auch das Obergericht (S. 8 des angefochtenen Entscheids), diesen Beschluss als Zwischenentscheid. Ob es sich dabei wirklich um einen solchen und nicht um einen Teilentscheid handelt, kann letztlich offen bleiben, denn es obliegt dem Beschwerdeführer darzutun, dass die Eintretensvoraussetzungen erfüllt sind, soweit deren Vorliegen nicht offensichtlich in die Augen springt (vgl. dazu BGE 134 III 426 E. 1.2 S. 429 in fine; 133 III 629 E. 2.3.1 S. 632 und E. 2.4.2 S. 633). In der Beschwerdeschrift finden sich indes keine sachdienlichen Ausführungen, und es ist auch nicht offensichtlich, dass die Eintretensvoraussetzungen erfüllt sind. Deshalb kann auch in diesem Punkt auf die Beschwerde nicht eingetreten werden.</w:t>
      </w:r>
    </w:p>
    <w:p>
      <w:r>
        <w:rPr>
          <w:b/>
        </w:rPr>
        <w:t>E. 1.1.3</w:t>
      </w:r>
    </w:p>
    <w:p>
      <w:r>
        <w:t>Mit dem Beschluss des Obergerichts des Kantons Zürich vom 19. Mai 2010 ist ein kantonal letztinstanzlicher, in einer vermögensrechtlichen Zivilsache ergangener Endentscheid angefochten, dessen Streitwert Fr. 30'000.-- übersteigt, sodass die Beschwerde in Zivilsachen offen steht (Art. 51 Abs. 1 lit. a und Abs. 4, Art. 72 Abs. 1, Art. 74 Abs. 1 lit. b, Art. 75 Abs. 1 und Art. 90 BGG ).</w:t>
      </w:r>
    </w:p>
    <w:p>
      <w:r>
        <w:rPr>
          <w:b/>
        </w:rPr>
        <w:t>E. 1.2</w:t>
      </w:r>
    </w:p>
    <w:p>
      <w:r>
        <w:t>Die Beschwerde in Zivilsachen ist ein reformatorisches Rechtsmittel ( Art. 107 Abs. 2 BGG ). Deshalb darf sich der Beschwerdeführer grundsätzlich nicht darauf beschränken, die (neue) Beurteilung seiner vor der Vorinstanz gestellten Begehren zu verlangen, sondern muss Anträge in der Sache stellen. Auf Geldforderungen gerichtete Rechtsbegehren sind überdies zu beziffern ( BGE 134 III 235 E. 2 S. 236 f.). Diese Voraussetzungen sind hier nicht erfüllt. Auch auf eine Beschwerde mit formell mangelhaften Rechtsbegehren kann das Bundesgericht indes ausnahmsweise eintreten, wenn sich aus der Beschwerdebegründung, allenfalls in Verbindung mit dem angefochtenen Entscheid, ohne weiteres ergibt, was der Beschwerdeführer in der Sache verlangt ( BGE 133 II 409 E. 1.4 S. 414 f.; 134 V 208 E. 1 S. 210) oder - im Falle zu beziffernder Rechtsbegehren - welcher Geldbetrag zuzusprechen ist ( BGE 134 III 235 E. 2 S. 236 f.). Dies gilt insbesondere für offensichtlich von Laien verfasste Beschwerden. Aufgrund der Vorakten ergibt sich, dass der Beschwerdeführer monatliche Unterhaltsbeiträge von Fr. 14'000.-- für sich selbst und von je Fr. 3'000.-- für seine beiden Söhne beansprucht und die Leistung eines Prozesskostenvorschusses von Fr. 50'000.-- verlangt. Damit ist die Beschwerde hinsichtlich dieser Begehren gegeben; soweit weitergehend, bleibt völlig unklar, was der Beschwerdeführer will, sodass nicht darauf eingetreten werden kann.</w:t>
      </w:r>
    </w:p>
    <w:p>
      <w:r>
        <w:rPr>
          <w:b/>
        </w:rPr>
        <w:t>E. 1.3</w:t>
      </w:r>
    </w:p>
    <w:p>
      <w:r>
        <w:t>Weil Eheschutzentscheide vorsorgliche Massnahmen im Sinn von Art. 98 BGG darstellen ( BGE 133 III 393 E. 5.1 S. 397), stehen nicht alle Vorbringen gemäss Art. 95 ff. BGG offen, sondern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 massgeblichen und sachbezogenen Ausführungen müssen in der Beschwerdeschrift selber enthalten sein; ein blosser Verweis auf Rechtsschriften im vorausgegangenen kantonalen Verfahren ist unzulässig ( BGE 133 II 396 E. 3.2 S. 400). Diesen Rügeanforderungen vermag die Beschwerde über weite Strecken nicht zu genügen. Dies gilt namentlich, wenn der Beschwerdeführer Unausgewogenheit, Diskriminierung und materielle Fehler geltend macht, denn er zeigt weder auf, aus welchen Verfassungsbestimmungen er diese Grundsätze ableitet, noch inwiefern solche konkreten Verfassungsnormen verletzt sein sollten. Seine Ausführungen zum Sachverhalt bleiben appellatorisch, indem er diesen einfach aus eigener Sicht darstellt. Die Behauptung einer strafbaren Handlung (Steuerbetrug), mit der er letztlich aufzeigen will, dass Einkommen und Vermögen der Beschwerdegegnerin höher sind als vom Obergericht angenommen, ist nicht geeignet, Willkür in der Sachverhaltsfeststellung darzutun. Auf all diese Vorbringen kann nicht eingetreten werden.</w:t>
      </w:r>
    </w:p>
    <w:p>
      <w:r>
        <w:rPr>
          <w:b/>
        </w:rPr>
        <w:t>E. 2</w:t>
      </w:r>
    </w:p>
    <w:p>
      <w:r>
        <w:t>Der Beschwerdeführer rügt die Verletzung des rechtlichen Gehörs, indem er nicht anwaltlich vertreten gewesen sei, obwohl er dies wegen ungenügender eigener rechtlicher Kenntnisse und schwerwiegender gesundheitlicher Einschränkungen beantragt habe.</w:t>
      </w:r>
    </w:p>
    <w:p>
      <w:r>
        <w:rPr>
          <w:b/>
        </w:rPr>
        <w:t>E. 2.1</w:t>
      </w:r>
    </w:p>
    <w:p>
      <w:r>
        <w:t>Der Anspruch auf rechtliches Gehör und dessen Umfang bestimmt sich zunächst nach den kantonalen Verfahrensvorschriften, deren Auslegung und Anwendung das Bundesgericht unter dem beschränkten Gesichtswinkel der Willkür ( Art. 9 BV ) prüft. In jedem Fall haben die kantonalen Behörden die aus Art. 29 Abs. 2 BV abgeleiteten Minimalgarantien zu beachten, was das Bundesgericht dagegen mit freier Kognition beurteilt ( BGE 127 III 193 E. 3 S. 194; s. auch BGE 126 I 19 E. 2a S. 22 und 125 I 257 E. 3a S. 259). Art. 29 Abs. 2 BV gewährleistet dem Betroffenen das Recht, von den Akten Kenntnis zu nehmen ( BGE 126 I 7 E. 2b S. 10), sich vor Erlass eines in seine Rechtsstellung eingreifenden Entscheides zu äussern, erhebliche Beweise vorzulegen, und das Recht, mit seinen Beweisofferten zu erheblichen Tatsachen zugelassen zu werden, der Beweisabnahme beizuwohnen oder mindestens sich zum Beweisergebnis zu äussern ( BGE 127 III 576 E. 2c S. 578; 129 II 497 E. 2.2 S. 504; 132 II 485 E. 3.2 S. 494). Ein allgemeines, aus dem Anspruch auf rechtliches Gehör fliessendes Recht auf Beiordnung eines Rechtsvertreters, wie dies der Beschwerdeführer geltend macht, gibt es dagegen nicht. Insofern ist keine Verfassungsverletzung auszumachen.</w:t>
      </w:r>
    </w:p>
    <w:p>
      <w:r>
        <w:rPr>
          <w:b/>
        </w:rPr>
        <w:t>E. 2.2</w:t>
      </w:r>
    </w:p>
    <w:p>
      <w:r>
        <w:t>Der Beschwerdeführer führt sodann aus, es sei ihm zu Unrecht kein unentgeltlicher Anwalt beigeordnet worden. Das Obergericht erwog in diesem Zusammenhang, die bis und mit zum erstinstanzlichen Verfahren entstandenen Anwaltskosten seien gedeckt. Danach sei der Beschwerdeführer allerdings nicht mehr anwaltlich vertreten gewesen, weshalb es für das Verfahren vor Obergericht keines Prozesskostenvorschusses mehr bedürfe und das entsprechende Gesuch abzuweisen sei. Sodann auferlegte es dem Beschwerdeführer 19/20 der Gerichtskosten (ausmachend Fr. 5'225.--) und verpflichtete ihn, der Beschwerdegegnerin eine auf 9/10 reduzierte Parteientschädigung von Fr. 7'747.20 zu bezahlen. Angesichts seiner Bedürftigkeit verpflichtete das Obergericht die Beschwerdegegnerin hingegen gestützt auf Art. 159 Abs. 3 ZGB , diese Kosten in Anrechnung an die scheidungsrechtlichen Ansprüche des Beschwerdeführers zu übernehmen. Der Beschwerdeführer scheint der Auffassung zu sein, gestützt auf sein (Eventual)Begehren auf Gewährung der unentgeltlichen Rechtspflege und Beiordnung eines amtlichen Anwalts hätte das Obergericht von sich aus einen Anwalt bezeichnen und beauftragen müssen. Indes zeigt er weder auf, aus welcher kantonalen Vorschrift er einen solchen Anspruch ableitet, noch inwiefern dadurch der verfassungsmässige Anspruch auf unentgeltliche Rechtspflege ( Art. 29 Abs. 3 BV ) verletzt worden sein soll. Insofern kommt der Beschwerdeführer seiner Rügepflicht nicht nach (E. 1.3), so dass auf die diesbezüglichen Vorbringen nicht eingetreten werden kann. Der guten Ordnung halber sei dennoch erwähnt, dass die privatrechtliche Unterhalts- und Beistandspflicht der Ehegatten ( Art. 159 Abs. 3 und Art. 163 ZGB ) dem verfassungsmässigen Anspruch auf unentgeltliche Rechtspflege zu Lasten der öffentlichen Hand vorgeht (Urteil 5P.441/2005 vom 9. Februar 2006 E. 1.1, in: Pra 95/2006 Nr. 143 S. 989, mit Hinweisen; s. auch BGE 66 II 70 E. 3 S. 71 f. und Urteil 5P.395/2001 vom 12. März 2002 E. 1, in: FamPra.ch 2002 S. 582). Deshalb ist ein solcher zu verneinen, wenn der unterhalts- bzw. beistandspflichtige Ehegatte in der Lage ist, die Prozesskosten des anderen zu bevorschussen. Diese Voraussetzungen waren vorliegend offensichtlich erfüllt; der Beschwerdeführer bringt nicht Gegenteiliges vor. Der Anspruch auf Bevorschussung von Anwaltskosten setzt allerdings voraus, dass solche überhaupt entstehen, was wiederum den Bestand eines Anwaltsmandates bedingt. Ob sich eine Partei in einem Zivilprozess anwaltlich vertreten lassen will, unterliegt ihrer eigenen Disposition. Folglich ist der Anwalt von der die Bevorschussung beantragenden Partei zu bezeichnen und zu beauftragen. Eine allgemeine Pflicht der Gerichte, einer Prozesspartei auf Antrag hin einen Anwalt zu bestellen, besteht nicht. Solches ist nur unter besonderen, hier weder behaupteten noch vorliegenden Voraussetzungen gefordert (s. etwa § 29 Abs. 2 ZPO /ZH oder Art. 41 BGG ). Damit ist unter verfassungsmässigen Gesichtspunkten nicht zu beanstanden, wenn das Obergericht im Ergebnis darauf verzichtet hat, einen Anwalt mit der Vertretung der Interessen des Beschwerdeführers zu beauftragen.</w:t>
      </w:r>
    </w:p>
    <w:p>
      <w:r>
        <w:rPr>
          <w:b/>
        </w:rPr>
        <w:t>E. 3</w:t>
      </w:r>
    </w:p>
    <w:p>
      <w:r>
        <w:t>Nach dem Gesagten ist die Beschwerde abzuweisen, soweit darauf eingetreten werden kann. Der Beschwerdeführer unterliegt und wird kostenpflichtig ( Art. 66 Abs. 1 BGG ). Wie die vorstehenden Erwägungen zeigen, muss die Beschwerde sodann als von Anfang an aussichtslos bezeichnet werden, weshalb es an den materiellen Voraussetzungen der unentgeltlichen Rechtspflege fehlt ( Art. 64 Abs. 1 BGG ) und das entsprechende Gesuch abzuweisen ist.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