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5A_453/2026 vom 8. Juni 2026</w:t>
      </w:r>
    </w:p>
    <w:p>
      <w:r>
        <w:t>Bundesgericht, 2026-06-08, FR</w:t>
      </w:r>
    </w:p>
    <w:p>
      <w:r>
        <w:rPr>
          <w:b/>
        </w:rPr>
        <w:t xml:space="preserve">Quelle: </w:t>
      </w:r>
      <w:r>
        <w:t>https://mcp.opencaselaw.ch/entscheid/bger_5A_453_2026</w:t>
      </w:r>
    </w:p>
    <w:p>
      <w:r>
        <w:t>FR: TF 5A_453/2026 du 8 juin 2026</w:t>
      </w:r>
    </w:p>
    <w:p>
      <w:r>
        <w:t>IT: TF 5A_453/2026 del 8 giugno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5A_453/2026</w:t>
      </w:r>
    </w:p>
    <w:p>
      <w:r>
        <w:t>Ordonnance du 8 juin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représenté par Mes Rodrigo Da Silva et Marco Villa, avocats,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 par Me Benoît Mauron, avocat,</w:t>
      </w:r>
    </w:p>
    <w:p>
      <w:r>
        <w:t>intimé,</w:t>
      </w:r>
    </w:p>
    <w:p>
      <w:r>
        <w:t>Office cantonal des poursuites de Genève, rue du Stand 46, case postale 208, 1211 Genève 8,</w:t>
      </w:r>
    </w:p>
    <w:p>
      <w:r>
        <w:t>Objet</w:t>
      </w:r>
    </w:p>
    <w:p>
      <w:r>
        <w:t>retrait du recours (exécution d'un séquestre),</w:t>
      </w:r>
    </w:p>
    <w:p>
      <w:r>
        <w:t>recours contre la décision de la Chambre de surveillance</w:t>
      </w:r>
    </w:p>
    <w:p>
      <w:r>
        <w:t>des Offices des poursuites et faillites de la Cour de justice</w:t>
      </w:r>
    </w:p>
    <w:p>
      <w:r>
        <w:t>du canton de Genève du 7 mai 2026 (A/4061/2025-CS).</w:t>
      </w:r>
    </w:p>
    <w:p>
      <w:r>
        <w:t>Vu :</w:t>
      </w:r>
    </w:p>
    <w:p>
      <w:r>
        <w:t>le recours en matière civile interjeté le 18 mai 2026 par A.________ contre la décision rendue le 7 mai 2026 par la Chambre de surveillance des Offices des poursuites et faillites de la Cour de justice du canton de Genève, assorti d'une requête d'effet suspensif;</w:t>
      </w:r>
    </w:p>
    <w:p>
      <w:r>
        <w:t>la déclaration de retrait du recours du 3 juin 2026 reçue le lendemain;</w:t>
      </w:r>
    </w:p>
    <w:p>
      <w:r>
        <w:t>les déterminations de l'intimé sur la requête d'effet suspensif du 4 juin 2026;</w:t>
      </w:r>
    </w:p>
    <w:p>
      <w:r>
        <w:t>Considérant :</w:t>
      </w:r>
    </w:p>
    <w:p>
      <w:r>
        <w:t>qu'il convient de prendre acte du retrait du recours et de rayer la cause du rôle ( art. 73 PCF ,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; ordonnances 5A_1072//2025 du 8 janvier 2026; 5A_72/2024 du 4 novembre 2025);</w:t>
      </w:r>
    </w:p>
    <w:p>
      <w:r>
        <w:t>qu'il y a lieu d'allouer à l'intimé des dépens à raison de ses écritures devenues inutiles à la suite du retrait du recours ( art. 66 al. 3 LTF , par renvoi de l' art. 68 al. 4 LTF ).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Une indemnité de 500 fr., à payer à l'intimé à titre de dépens, est mise à la charge du recourant.</w:t>
      </w:r>
    </w:p>
    <w:p>
      <w:r>
        <w:t>4.</w:t>
      </w:r>
    </w:p>
    <w:p>
      <w:r>
        <w:t>La présente ordonnance est communiquée aux parties, à l'Office cantonal des poursuites de Genève et à la Chambre de surveillance des Offices des poursuites et faillites de la Cour de justice du canton de Genève.</w:t>
      </w:r>
    </w:p>
    <w:p>
      <w:r>
        <w:t>Lausanne, le 8 juin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