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5A_453/2020 vom 5. Juni 2020</w:t>
      </w:r>
    </w:p>
    <w:p>
      <w:r>
        <w:t>Bundesgericht, 2020-06-05, DE</w:t>
      </w:r>
    </w:p>
    <w:p>
      <w:r>
        <w:rPr>
          <w:b/>
        </w:rPr>
        <w:t xml:space="preserve">Quelle: </w:t>
      </w:r>
      <w:r>
        <w:t>https://mcp.opencaselaw.ch/entscheid/bger_5A_453_2020</w:t>
      </w:r>
    </w:p>
    <w:p>
      <w:r>
        <w:t>FR: TF 5A_453/2020 du 5 juin 2020</w:t>
      </w:r>
    </w:p>
    <w:p>
      <w:r>
        <w:t>IT: TF 5A_453/2020 del 5 giugno 2020</w:t>
      </w:r>
    </w:p>
    <w:p>
      <w:pPr>
        <w:pStyle w:val="Heading2"/>
      </w:pPr>
      <w:r>
        <w:t>Erwägungen</w:t>
      </w:r>
    </w:p>
    <w:p>
      <w:r>
        <w:rPr>
          <w:b/>
        </w:rPr>
        <w:t>E. 1</w:t>
      </w:r>
    </w:p>
    <w:p>
      <w:r>
        <w:t>Der Beschwerdeführer macht geltend, dass er aufgrund der Situation wegen Covid-19 den Kostenvorschuss, welcher im Übrigen nicht angemessen sei, nicht bezahlen könne und beklagt sich darüber, dass das Verwaltungsgericht auf sein betreffendes Schreiben vom 29. März 2020 nicht geantwortet habe.</w:t>
      </w:r>
    </w:p>
    <w:p>
      <w:r>
        <w:rPr>
          <w:b/>
        </w:rPr>
        <w:t>E. 2</w:t>
      </w:r>
    </w:p>
    <w:p>
      <w:r>
        <w:t>Die Höhe des Kostenvorschusses war bereits Gegenstand des Urteils 5A_192/2020; darauf ist nicht zurückzukommen.</w:t>
      </w:r>
    </w:p>
    <w:p>
      <w:r>
        <w:t>Die Behauptung, das Verwaltungsgericht habe nicht auf sein Schreiben vom 29. März 2020 reagiert, ist aktenwidrig (vgl. vorstehende Sachverhaltsdarstellung).</w:t>
      </w:r>
    </w:p>
    <w:p>
      <w:r>
        <w:t>Im Übrigen müsste der Beschwerdeführer mit substanziierten Willkürrügen aufzeigen, welche Norm des anwendbaren kantonalen Verfahrensrechtes das Verwaltungsgericht in Verletzung von verfassungsmässigen Rechten falsch angewandt haben soll ( BGE 139 III 225 E. 2.3 S. 231; 139 III 252 E. 1.4 S. 254; 142 II 369 E. 2.1 S. 372), indem es auf die Schadenersatzklage mangels Leistung des Kostenvorschusses nicht eingetreten ist. Eine solche Darlegung erfolgt nicht ansatzweise. Der Beschwerdeführer beruft sich in appellatorischer Weise und abstrakt auf die Situation im Zusammenhang mit Covid-19, die für alle neu gewesen sei. Damit ist keine Verfassungsverletzung darzutun.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