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5A_452/2015 vom 20. November 2015</w:t>
      </w:r>
    </w:p>
    <w:p>
      <w:r>
        <w:t>Bundesgericht, 2015-11-20, FR</w:t>
      </w:r>
    </w:p>
    <w:p>
      <w:r>
        <w:rPr>
          <w:b/>
        </w:rPr>
        <w:t xml:space="preserve">Quelle: </w:t>
      </w:r>
      <w:r>
        <w:t>https://mcp.opencaselaw.ch/entscheid/bger_5A_452_2015</w:t>
      </w:r>
    </w:p>
    <w:p>
      <w:r>
        <w:t>FR: TF 5A_452/2015 du 20 novembre 2015</w:t>
      </w:r>
    </w:p>
    <w:p>
      <w:r>
        <w:t>IT: TF 5A_452/2015 del 20 novembre 2015</w:t>
      </w:r>
    </w:p>
    <w:p>
      <w:pPr>
        <w:pStyle w:val="Heading2"/>
      </w:pPr>
      <w:r>
        <w:t>Erwägungen</w:t>
      </w:r>
    </w:p>
    <w:p>
      <w:r>
        <w:rPr>
          <w:b/>
        </w:rPr>
        <w:t>E. 1</w:t>
      </w:r>
    </w:p>
    <w:p>
      <w:r>
        <w:t>L'arrêt entrepris, rendu en matière civile ( art. 72 al. 1 LTF ), a pour objet la réglementation du droit de visite du parent non gardien. Comme la question soumise au Tribunal fédéral n'est pas de nature pécuniaire, le recours est ouvert indépendamment de la valeur litigieuse (arrêts 5A_366/2010 du 4 janvier 2011 consid. 1.1; 5D_41/2007 du 27 novembre 2007 consid. 2.3). Par ailleurs, le recours a été interjeté dans le délai ( art. 100 al. 1 LTF ) et la forme ( art. 42 LTF ) prévus par la loi, contre une décision finale ( art. 90 LTF ) prise sur recours par une autorité supérieure statuant en dernière instance cantonale ( art. 75 al. 1 et 2 LTF ). La recourante ayant en outre pris part à la procédure devant l'autorité précédente et ayant un intérêt à l'annulation ou à la modification de la décision attaquée ( art. 76 al. 1 LTF ), le recours en matière civile est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p. 400). Cependant, vu l'exigence de motivation contenue à l' art. 42 al. 1 et 2 LTF , il n'examine en principe que les griefs invoqués; il n'est pas tenu de traiter, comme le ferait une autorité de première instance, toutes les questions juridiques qui se posent, lorsqu'elles ne sont plus discutées devant lui ( ATF 140 III 86 consid. 2 p. 85-86 et les arrêts cités; 135 III 397 consid. 1.4 précité). Le recourant doit par conséquent critiquer les motifs de la décision entreprise et indiquer précisément en quoi il estime que l'autorité précédente a méconnu le droit ( ATF 140 III 86 consid. 2 précité). Le Tribunal fédéral ne connaît en outre de la violation des droits fondamentaux que si ce grief a été invoqué et dûment motivé par le recourant ( "principe d'allégation ", art. 106 al. 2 LTF ; ATF 137 II 305 consid. 3.3 p. 310), c'est-à-dire expressément soulevé et exposé de façon claire et détaillée ( ATF 139 I 229 consid. 2.2 p. 232 et les arrêts cités). Les critiques de nature appellatoire sont irrecevables ( ATF 139 II 404 consid. 10.1 p. 445 et les arrêts cités).</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w:t>
      </w:r>
    </w:p>
    <w:p>
      <w:r>
        <w:t>supra consid. 2.1), sous peine d'irrecevabilité.</w:t>
      </w:r>
    </w:p>
    <w:p>
      <w:r>
        <w:t>De jurisprudence constante, le Tribunal fédéral se montre réservé en matière de constatation des faits et d'appréciation des preuves, vu le large pouvoir qu'il reconnaît en la matière aux autorités cantonales. Il n'intervient, pour violation de l' art. 9 Cst. en relation avec les art. 97 al. 1 et 105 al. 2 LTF, que si le juge n'a manifestement pas compris le sens et la portée d'un moyen de preuve, a omis sans motifs sérieux de tenir compte de preuves pertinentes ou a effectué, sur la base des éléments recueillis, des déductions insoutenables; encore faut-il que la décision en soit viciée dans son résultat ( ATF 137 I 58 consid. 4.1.2 p. 62; 136 III 552 consid. 4.2 et les arrêts cités p. 560; 134 V 53 consid. 4.3 p. 62; 129 I 8 consid. 2.1 p. 9).</w:t>
      </w:r>
    </w:p>
    <w:p>
      <w:r>
        <w:t>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(arrêts 5A_327/2009 du 1</w:t>
      </w:r>
    </w:p>
    <w:p>
      <w:r>
        <w:t>er septembre 2009 consid. 2.1.2; 5A_839/2008 du 2 mars 2009 consid. 3.2; 5A_181/2008 du 25 avril 2008 consid. 2.1; 6B_457/2007 du 12 novembre 2007 consid. 4.1; 5P.206/2006 du 29 septembre 2006 consid. 3.1 et la jurisprudence citée; cf. aussi ATF 133 II 384 consid. 4.2.3 p. 391; 130 I 337 consid. 5.4.2 p. 354-346; 128 I 81 consid. 2</w:t>
      </w:r>
    </w:p>
    <w:p>
      <w:r>
        <w:t>in fine p. 86).</w:t>
      </w:r>
    </w:p>
    <w:p>
      <w:r>
        <w:rPr>
          <w:b/>
        </w:rPr>
        <w:t>E. 3</w:t>
      </w:r>
    </w:p>
    <w:p>
      <w:r>
        <w:t>La recourante se plaint d'une violation de l' art. 274 al. 2 CC en tant que l'autorité cantonale a ordonné la reprise des relations personnelles entre l'intimé et son fils.</w:t>
      </w:r>
    </w:p>
    <w:p>
      <w:r>
        <w:rPr>
          <w:b/>
        </w:rPr>
        <w:t>E. 3.1</w:t>
      </w:r>
    </w:p>
    <w:p>
      <w:r>
        <w:t>La recourante s'oppose à la reprise immédiate des relations personnelles entre l'intimé et son fils. Tout en ne remettant pas en cause la valeur probante de l'expertise familiale établie par le CURML, elle estime qu'un élément central de celle-ci a échappé à la cour cantonale. Elle soutient qu'il ressort clairement de l'avis exprimé par l'experte qu'un espace thérapeutique et de médiation doit être mis en place pour les deux parents préalablement à la reprise des contacts entre l'intimé et son fils. Elle estime que l'autorité cantonale ne pouvait, au regard du contenu de cette expertise, ordonner la reprise du droit de visite sans se soucier au préalable qu'une communication minimale ait été rétablie entre les parents et le conflit de loyauté réduit. Des mesures en ce sens auraient dues être ordonnées avant la reprise des relations personnelles afin d'écarter le danger lié à l'exercice de celles-ci. La cour cantonale aurait mal apprécié les conclusions de l'experte en retenant que la reprise des relations personnelles était, dans un premier temps, susceptible d'entraîner une péjoration provisoire de l'état de santé de l'enfant, alors que l'experte avait en réalité retenu que cette péjoration était fort probable. L'autorité cantonale aurait également dû tenir compte de l'avis du psychothérapeute suivant hebdomadairement l'enfant. Dans une attestation établie le 9 mai 2014 et produite par la recourante à l'appui de son appel, le Dr F.________ avait en effet considéré que l'enfant n'était actuellement pas prêt à revoir son père, que leur relation restait dangereuse et risquait de désorganiser son équilibre psychique en phase de consolidation. Il avait en outre relevé que la simple évocation de revoir son père avait entraîné une grave régression avec des angoisses de désorganisation psychique et des pertes de contrôle corporel avec des symptômes d'encoprésie et d'énurésie nocturne et diurne. De son point de vue, la reprise du droit de visite risquait d'aggraver cette symptomatologie et de pénaliser le développement psychique et l'intégration familiale et scolaire de l'enfant. La recourante considère en outre que les modalités selon lesquelles le droit de visite devra se dérouler ont été définies de manière lacunaire. Selon elle, l'experte aurait reconnu que les traits de personnalité de l'intimé pouvaient avoir des répercussions négatives sur l'enfant et que les contacts avec son fils devaient par conséquent faire l'objet d'une surveillance spécifique dans le cadre de la curatelle d'organisation et de surveillance du droit de visite. La recourante estime de ce fait que le rôle de surveillance qui devra être exercé par le curateur aurait dû être précisé. Pour ces divers motifs, elle soutient que la cour cantonale aurait violé l' art. 274 al. 2 CC aux termes duquel le droit d'entretenir des relations personnelles peut être refusé ou retiré si elles compromettent le développement de l'enfant, si les père et mère qui les entretiennent violent leurs obligations, s'ils ne se sont pas souciés sérieusement de l'enfant ou s'il existe d'autres justes motifs.</w:t>
      </w:r>
    </w:p>
    <w:p>
      <w:r>
        <w:rPr>
          <w:b/>
        </w:rPr>
        <w:t>E. 3.2</w:t>
      </w:r>
    </w:p>
    <w:p>
      <w:r>
        <w:t>L'autorité cantonale a relevé que, contrairement à ce que soutenait la recourante, l'experte avait tenu compte des troubles propres de l'enfant. Cette dernière avait également admis que la psychopathologie de l'enfant était mieux contenue et contrôlée par la médication psychotrope et la psychothérapie qu'il suivait; elle avait toutefois relevé que cette amélioration n'était qu'apparente et ne résultait pas de l'arrêt des rencontres entre le père et le fils en tant que tel, mais de la diminution de l'angoisse de la mère qui en découlait. Selon l'experte, le manque de contact entre le père et le fils était " mauvais pour le pronostic " et la reprise des relations personnelles était fondamentale pour le bon développement psychoaffectif de l'enfant, car la rupture entravait sa construction identitaire, consolidait ses défenses psychopathologiques archaïques et pathogènes et exacerbait sa fragilité narcissique, ses angoisses de perte et d'effondrement identitaires. L'experte avait en outre relevé que la situation de conflit et l'absence de communication entre les parents étaient pathogènes pour l'enfant, qui devait faire face à un conflit de loyauté proportionnel au conflit parental. Il se retrouvait instrumentalisé par l'un ou l'autre de ses parents. Tout moment agréable avec l'un d'eux engendrait de la confusion, des angoisses de pertes, de frustration, de la colère et de l'agressivité. Pour l'enfant, les visites avec le père se passaient alors dans un " climat d'angoisse extrême ", ce qui expliquait ses réactions avant ou après les visites, et ce bien qu'il fût content de voir son père, comme l'avaient confirmé les intervenants du point de rencontre ainsi que ses demi-frères et soeur. L'experte avait ainsi préconisé la reprise des relations personnelles, tout en prenant en considération les répercussions négatives que celles-ci pourraient avoir, dans l'immédiat, sur l'état de santé de l'enfant. Elle avait également mis en exergue la nécessité de maintenir l'espace thérapeutique pour l'enfant et de mettre en place un travail d'accompagnement thérapeutique pour les deux parents, à savoir plus précisément un suivi psychiatrique régulier pour la mère et le maintien de la curatelle d'organisation et de surveillance des relations personnelles entre le père et l'enfant.</w:t>
      </w:r>
    </w:p>
    <w:p>
      <w:r>
        <w:t>L'autorité cantonale a considéré que l'expertise familiale était claire, complète et qu'elle ne contenait pas de contradictions. L'experte avait en outre tenu compte des préoccupations du Dr F.________ quant à la fragilité psychique de l'enfant, d'une probable régression de ce dernier et de la représentation faussée que s'en faisait son père. Elle en tirait toutefois des conclusions différentes de celles du Dr F.________ et étayait suffisamment sa thèse sur ce point. La cour cantonale a en conséquence estimé qu'il se justifiait de la suivre en tant qu'elle préconisait la reprise des relations personnelles entre l'enfant et son père. Il apparaissait en effet conforme au bien de l'enfant de privilégier son intérêt à trouver un équilibre durable sur le long terme - que ses contacts avec son père lui permettraient de construire - et ce, même si la reprise des relations était dans un premier temps susceptible d'entraîner une péjoration provisoire de son état de santé. Elle a en conséquence intégralement suivi les recommandations de l'experte qui recommandait la reprise du droit de visite à raison de deux heures tous les quinze jours durant les six premiers mois dans un point de rencontre à fixer par le curateur, puis son extension selon l'évolution de l'enfant, d'abord au sein du point de rencontre, pour s'exercer ensuite progressivement hors de celui-ci, cette extension progressive pouvant s'étendre, dans un délai déterminé par le curateur en fonction de l'évolution de l'enfant, à un exercice usuel du droit de visite, soit un week-end sur deux et durant la moitié des vacances scolaires. Elle a également retenu qu'une curatelle éducative devait être instaurée et la curatelle de surveillance et d'organisation du droit de visite maintenue, tout comme les mesures de protection au sens de l' art. 28b CC . Elle a en outre exhorté les parties à entreprendre une thérapie parentale et la mère une thérapie personnelle, estimant qu'il appartenait aux parents de tenir compte du bien de l'enfant. Ce dernier n'avait en effet pas à mettre en péril sa relation avec son père pour préserver ses parents du conflit qui les opposait. Ceux-ci devaient par conséquent gérer leurs difficultés et trouver un mode de fonctionnement qui leur permette de surmonter leurs différends sans que la relation de l'enfant avec chacun d'entre eux ait à en pâtir.</w:t>
      </w:r>
    </w:p>
    <w:p>
      <w:r>
        <w:rPr>
          <w:b/>
        </w:rPr>
        <w:t>E. 3.3</w:t>
      </w:r>
    </w:p>
    <w:p>
      <w:r>
        <w:t>La recourante motive en substance son grief de violation de l' art. 274 al. 2 CC en soutenant que l'autorité cantonale aurait mal compris les conclusions de l'expertise et qu'un élément central de celle-ci lui aurait échappé (cf.</w:t>
      </w:r>
    </w:p>
    <w:p>
      <w:r>
        <w:t>supra consid. 3.1). Or, dans la mesure où il ressort clairement de ses écritures qu'elle s'en prend à la manière dont la cour cantonale a apprécié les conclusions de l'expertise judiciaire, son grief est en réalité dirigé contre l'appréciation des preuves à laquelle a procédé la cour cantonale. Dès lors que la recourante ne soulève aucun grief d'arbitraire ( art. 9 Cst. ) sur ce point, sa critique ne répond pas aux exigences de motivation susmentionnées (cf.</w:t>
      </w:r>
    </w:p>
    <w:p>
      <w:r>
        <w:t>supra consid. 2.1), de sorte qu'elle est irrecevable.</w:t>
      </w:r>
    </w:p>
    <w:p>
      <w:r>
        <w:t>Pour le surplus, en tant que la recourante reproche à l'autorité cantonale de n'avoir, à tort, pas tenu compte de l'avis du psychothérapeute qui suit hebdomadairement l'enfant, son grief est infondé. La cour cantonale a en effet relevé que les préoccupations du Dr F.________, qui estimait que l'enfant n'était pas prêt à revoir son père, avaient déjà été prises en compte dans le cadre de l'expertise de la Dresse E.________. Sur la base des mêmes constats que le Dr F.________, l'experte arrivait toutefois à des conclusions différentes qu'elle avait clairement étayées dans son rapport. Elle a ainsi admis, à l'instar du Dr F.________, que l'enfant était fragile psychologiquement. Elle a toutefois considéré que les troubles de l'enfant n'étaient pas directement imputables aux relations personnelles avec son père, mais bien à l'angoisse que ces visites provoquaient chez sa mère, qui elle-même expliquait les réactions de l'enfant avant ou après les visites. Tout comme le Dr F.________, elle a relevé que la reprise du droit de visite allait probablement dans un premier temps engendrer une péjoration de l'état de santé de la mère, et indirectement de l'enfant, et exacerber les troubles comportementaux et émotionnels de celui-ci. Il ressort de ce qui précède que l'experte a effectivement clairement pris en compte le risque évoqué par le Dr F.________ et ses inquiétudes sur ce point dans la pesée des intérêts à laquelle elle a procédé. Elle a également exposé de manière circonstanciée les raisons pour lesquelles elle estimait que le bien de l'enfant commandait malgré tout la reprise progressive des relations avec son père. La recourante ne peut donc reprocher à l'autorité cantonale d'avoir fait fi de l'opinion du Dr F.________ puisqu'elle s'est fondée sur un rapport d'expertise prenant clairement en considération l'avis et les inquiétudes de ce dernier.</w:t>
      </w:r>
    </w:p>
    <w:p>
      <w:r>
        <w:t>Enfin, on ne discerne pas en quoi les modalités du droit de visite auraient été définies de manière lacunaire, comme le soutient la recourante. L'autorité cantonale a en effet précisé à quelle fréquence le droit de visite devrait dans un premier temps être exercé, a exposé qu'il devrait initialement se dérouler au sein d'un point de rencontre pour être ensuite étendu progressivement jusqu'à permettre un exercice usuel, tout en précisant que cette extension restait soumise à l'appréciation du curateur en fonction de l'évolution de l'enfant. Il apparaît ainsi que, contrairement à ce que soutient la recourante, le rôle du curateur a été défini et l'éventuel élargissement du droit de visite subordonné à l'évolution positive de l'état de santé de l'enfant. Infondé, le grief doit être rejeté.</w:t>
      </w:r>
    </w:p>
    <w:p>
      <w:r>
        <w:rPr>
          <w:b/>
        </w:rPr>
        <w:t>E. 4</w:t>
      </w:r>
    </w:p>
    <w:p>
      <w:r>
        <w:t>En définitive, le recours doit être rejeté, dans la mesure de sa recevabilité. Les frais judiciaires, arrêtés à 2'000 fr., sont mis à la charge de la recourante qui succombe ( art. 66 al. 1 LTF ). Il n' y a pas lieu d'allouer de dépens à l'intimé qui n'a pas été invité à se déterminer sur le fond et a succombé sur la question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