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5A_44/2026 vom 21. Januar 2026</w:t>
      </w:r>
    </w:p>
    <w:p>
      <w:r>
        <w:t>Bundesgericht, 2026-01-21, DE</w:t>
      </w:r>
    </w:p>
    <w:p>
      <w:r>
        <w:rPr>
          <w:b/>
        </w:rPr>
        <w:t xml:space="preserve">Quelle: </w:t>
      </w:r>
      <w:r>
        <w:t>https://mcp.opencaselaw.ch/entscheid/bger_5A_44_2026</w:t>
      </w:r>
    </w:p>
    <w:p>
      <w:r>
        <w:t>FR: TF 5A_44/2026 du 21 janvier 2026</w:t>
      </w:r>
    </w:p>
    <w:p>
      <w:r>
        <w:t>IT: TF 5A_44/2026 del 21 gennaio 2026</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festgehalten, der Beschwerdeführer mache in seinem Revisionsgesuch selbst geltend, dass er sämtliche Vorbringen bereits im damaligen Berufungsverfahren vorgetragen habe; mithin bringe er keine Revisionsgründe vor, sondern behaupte er eine falsche Würdigung bereits vorhanden gewesener Grundlagen. Wenn er ferner auf das Erbe der Beschwerdegegnerin hinweise, lege er nicht dar, wann er vom Tod des Schwiegervaters erfahren haben soll und seit wann er von einem allfälligen Erbanfall seitens der Beschwerdegegnerin gewusst habe.</w:t>
      </w:r>
    </w:p>
    <w:p>
      <w:r>
        <w:rPr>
          <w:b/>
        </w:rPr>
        <w:t>E. 3</w:t>
      </w:r>
    </w:p>
    <w:p>
      <w:r>
        <w:t>Der Beschwerdeführer rügt eine Verletzung der Beweisabnahmepflicht und dass bereits im vorangegangenen Eheschutzverfahren sämtliche Eingaben systematisch abgeblockt worden seien. Damit äussert er sich aber an der obergerichtlichen Kernerwägung vorbei, wonach er keine Revisionsgründe vorgebracht, sondern lediglich die seinerzeitige Sachverhaltsfeststellung und Beweiswürdigung im Berufungsurteil kritisiert habe. Hierfür steht indes das ordentliche Rechtsmittelverfahren zur Verfügung, während die Revision nicht dazu dient, die Streitsache erneut zu diskutieren und inhaltlich eine Wiedererwägung zu verlangen (statt vieler: Urteil 5F_36/2022 vom 29. November 2022 E. 3). Im Übrigen macht der Beschwerdeführer zwar formal eine "willkürliche Anwendung" von Art. 328 Abs. 1 lit. a und b ZPO geltend, indem er in abstrakter Weise das Vorliegen von Noven und eines Prozessbetruges behauptet. Damit setzt er sich aber nicht sachgerichtet mit den diesbezüglichen Erwägungen des angefochtenen Entscheides auseinander und zeigt nicht in nachvollziehbarer Weise auf, inwiefern das Obergericht im Zusammenhang mit dem Verneinen von Revisionsgründen Recht verletzt haben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