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44/2012 vom 20. März 2012</w:t>
      </w:r>
    </w:p>
    <w:p>
      <w:r>
        <w:t>Bundesgericht, 2012-03-20, DE</w:t>
      </w:r>
    </w:p>
    <w:p>
      <w:r>
        <w:rPr>
          <w:b/>
        </w:rPr>
        <w:t xml:space="preserve">Quelle: </w:t>
      </w:r>
      <w:r>
        <w:t>https://mcp.opencaselaw.ch/entscheid/bger_5A_44_2012</w:t>
      </w:r>
    </w:p>
    <w:p>
      <w:r>
        <w:t>FR: TF 5A 44/2012 du 20 mars 2012</w:t>
      </w:r>
    </w:p>
    <w:p>
      <w:r>
        <w:t>IT: TF 5A 44/2012 del 20 marzo 2012</w:t>
      </w:r>
    </w:p>
    <w:p>
      <w:pPr>
        <w:pStyle w:val="Heading2"/>
      </w:pPr>
      <w:r>
        <w:t>Regeste</w:t>
      </w:r>
    </w:p>
    <w:p>
      <w:r>
        <w:t>unentgeltliche Rechtspflege (Ehescheidung) | Familienrecht</w:t>
      </w:r>
    </w:p>
    <w:p>
      <w:pPr>
        <w:pStyle w:val="Heading2"/>
      </w:pPr>
      <w:r>
        <w:t>Erwägungen</w:t>
      </w:r>
    </w:p>
    <w:p>
      <w:r>
        <w:rPr>
          <w:b/>
        </w:rPr>
        <w:t>E. 1</w:t>
      </w:r>
    </w:p>
    <w:p>
      <w:r>
        <w:t>Angefochten ist der Entscheid des Obergerichts, das kantonal letztinstanzlich das Gesuch um unentgeltliche Rechtspflege für das Berufungsverfahren abgewiesen hat ( Art. 75 BGG ; vgl. zum Erfordernis der double instance: BGE 137 III 424 E. 2.2 S. 426). 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In der Hauptsache geht es um ein Scheidungsverfahren und damit eine Zivilsache ( Art. 72 Abs. 1 BGG ), in der das Obergericht auch nicht vermögensrechtliche Fragen zu beurteilen hat, so dass keine vermögensrechtliche Angelegenheit vorliegt ( Art. 74 Abs. 1 BGG ; Urteil 5A_311/2010 vom 3. Februar 2011 E. 1.1, nicht publ. in: BGE 137 III 118 ). Die Beschwerde in Zivilsachen ist in der Hauptsache zulässig und kann auch gegen den vorliegenden Zwischenentscheid ergriffen werden.</w:t>
      </w:r>
    </w:p>
    <w:p>
      <w:r>
        <w:rPr>
          <w:b/>
        </w:rPr>
        <w:t>E. 2.1</w:t>
      </w:r>
    </w:p>
    <w:p>
      <w:r>
        <w:t>Das Bezirksgericht hat das Scheidungsurteil am 5. Oktober 2011 versandt ( BGE 137 III 130 E. 2 S. 131 f.; 137 III 127 E. 2 S. 129 f.). Gemäss Art. 405 Abs. 1 ZPO gilt für das Rechtsmittel sowie für das Rechtsmittelverfahren (und damit auch für das Gesuch um unentgeltliche Rechtspflege für das Rechtsmittelverfahren) die Schweizerische Zivilprozessordnung ( Art. 405 Abs. 1 ZPO ; Urteil 5A_405/2011 vom 27. September 2011 E. 4.1.1 und 5.2, nicht publ. in: BGE 137 III 470 ). Das Obergericht hat demnach das Gesuch der Beschwerdeführerin zutreffend nach Art. 117 ff. ZPO beurteilt.</w:t>
      </w:r>
    </w:p>
    <w:p>
      <w:r>
        <w:rPr>
          <w:b/>
        </w:rPr>
        <w:t>E. 2.2</w:t>
      </w:r>
    </w:p>
    <w:p>
      <w:r>
        <w:t>Nach Art. 117 ZPO hat eine Person Anspruch auf unentgeltliche Rechtspflege, wenn sie nicht über die erforderlichen Mittel verfügt (lit. a) und ihr Rechtsbegehren nicht aussichtslos erscheint (lit. b). Das Obergericht hat das Gesuch um unentgeltliche Rechtspflege der Beschwerdeführerin abgewiesen, weil sie nicht mittellos sei.</w:t>
      </w:r>
    </w:p>
    <w:p>
      <w:r>
        <w:rPr>
          <w:b/>
        </w:rPr>
        <w:t>E. 2.3</w:t>
      </w:r>
    </w:p>
    <w:p>
      <w:r>
        <w:t>Ob die Kriterien zur Bestimmung der Mittellosigkeit zutreffend gewählt wurden, ist Rechtsfrage. Demgegenüber handelt es sich um eine Tatfrage, wenn es um die Höhe einzelner Aufwendungen oder Einnahmen geht ( BGE 135 I 221 E. 5.1 S. 223; 120 Ia 179 E. 3a S. 181).</w:t>
      </w:r>
    </w:p>
    <w:p>
      <w:r>
        <w:rPr>
          <w:b/>
        </w:rPr>
        <w:t>E. 2.4</w:t>
      </w:r>
    </w:p>
    <w:p>
      <w:r>
        <w:t>Das Obergericht hat den finanziellen Verpflichtungen der Beschwerdeführerin und ihres Sohnes von Fr. 4'193.-- pro Monat ein Monatseinkommen (inkl. Bonus) von rund Fr. 5'000.-- gegenübergestellt. Es ist so zu einem monatlichen Überschuss von rund Fr. 800.-- gelangt, wovon es einen Notgroschen von monatlich Fr. 600.-- ("nach Praxis der Kammer bei einer Partei mit einem Kind") abgezogen hat. Das Obergericht hat den verbleibenden Überschuss von Fr. 200.-- pro Monat als ausreichend erachtet, um die Kosten des "nicht aufwendig erscheinenden Verfahrens" innerhalb von zwei Jahren zu bezahlen, was praxisgemäss die Gewährung der unentgeltlichen Rechtspflege ausschliesse (vgl. zu der vom Obergericht angegebenen "Praxis" differenzierend: BGE 135 I 221 E. 5.1 S. 224). Das Obergericht hat folglich die Mittellosigkeit der Beschwerdeführerin verneint.</w:t>
      </w:r>
    </w:p>
    <w:p>
      <w:r>
        <w:rPr>
          <w:b/>
        </w:rPr>
        <w:t>E. 3.1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 Die Verletzung von Grundrechten prüft das Bundesgericht nur insofern, als eine solche Rüge in der Beschwerde vorgebracht und gehörig begründet wird ( Art. 106 Abs. 2 BGG ). Die Beschwerdeführerin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3.2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S. 234) oder durch eine andere Rechtsverletzung im Sinne von Art. 95 BGG (beispielsweise Art. 29 Abs. 2 BV oder Art. 8 ZGB ) zustande gekommen ist und inwiefern die Behebung des Mangels für den Ausgang des Verfahrens entscheidend sein kann ( Art. 97 Abs. 1 und Art. 105 Abs. 2 BGG ). Auf rein appellatorische Kritik am Sachverhalt tritt das Bundesgericht nicht ein ( BGE 137 II 353 E. 5.1 S. 356; 135 II 313 E. 5.2.2 S. 322).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3.3</w:t>
      </w:r>
    </w:p>
    <w:p>
      <w:r>
        <w:t>Neue Tatsachen und Beweismittel dürfen nur so weit vorgebracht werden, als erst der Entscheid der Vorinstanz dazu Anlass gibt ( Art. 99 Abs. 1 BGG ). Neu sind Tatsachen, die weder im vorangegangenen Verfahren vorgebracht noch von der Vorinstanz festgestellt wurden. Eine Tatsache, die sich aus den vorinstanzlichen Akten ergibt, ist nicht neu ( BGE 136 V 362 E. 3.3.1 S. 364 f.). Die Beschwerdeführerin stützt ihre Beschwerde über weite Strecken auf Tatsachen (und entsprechende Beweismittel), die bereits anlässlich des kantonsgerichtlichen Verfahrens Bestand hatten, aber nicht vorgebracht wurden ( BGE 136 III 123 E. 4.4.3 S. 128 f.), oder erst nach dem angefochtenen Entscheid entstanden sind und den angefochtenen Entscheid in der Sache betreffen ( BGE 135 I 221 E. 5.2.4 S. 229). Diese sind unzulässig und unbeachtlich. Immerhin ist die Beschwerdeführerin darauf hinzuweisen, dass sie (vor dem Obergericht) jederzeit ein neues Gesuch um unentgeltliche Rechtspflege stellen kann, wenn sich ihre Verhältnisse - wie von ihr vor Bundesgericht behauptet - seit dem vorliegend angefochtenen Entscheid verändert haben sollten (vgl. Urteil 5A_405/2011 vom 27. September 2011 E. 4.5.4, nicht publ. in: BGE 137 III 470 ).</w:t>
      </w:r>
    </w:p>
    <w:p>
      <w:r>
        <w:rPr>
          <w:b/>
        </w:rPr>
        <w:t>E. 4.1</w:t>
      </w:r>
    </w:p>
    <w:p>
      <w:r>
        <w:t>Die Beschwerdeführerin beanstandet einzelne Ausgabenpositionen und das vom Obergericht berücksichtigte Einkommen. Darauf ist nachfolgend im Einzelnen einzugehen:</w:t>
      </w:r>
    </w:p>
    <w:p>
      <w:r>
        <w:rPr>
          <w:b/>
        </w:rPr>
        <w:t>E. 4.2.1</w:t>
      </w:r>
    </w:p>
    <w:p>
      <w:r>
        <w:t>Das Obergericht berücksichtigte die von der Beschwerdeführerin geltend gemachten Schulden nicht, da sie nicht dargelegt habe, dass diese von ihr auch tatsächlich abbezahlt würden.</w:t>
      </w:r>
    </w:p>
    <w:p>
      <w:r>
        <w:rPr>
          <w:b/>
        </w:rPr>
        <w:t>E. 4.2.2</w:t>
      </w:r>
    </w:p>
    <w:p>
      <w:r>
        <w:t>Soweit sich die Beschwerdeführerin nicht zur beanstandeten Tatsachenfeststellung des Obergerichts (kein Nachweis der tatsächlichen Rückzahlung) äussert, sondern sich in appellatorischer Kritik übt (betreffend Steuerschulden und Schulden gegenüber ihrer Mutter), kann auf die Beschwerde von vornherein nicht eingetreten werden. Die Beschwerdeführerin zeigt sodann nicht rechtsgenüglich auf, inwiefern sich die obergerichtliche Tatsachenfeststellung wie von ihr behauptet als willkürlich erweisen soll. Dies hätte vielmehr vorausgesetzt, dass sie mit Aktenhinweisen darlegt, dass sie bereits vor Obergericht die Abzahlung der Schulden prozesskonform eingebracht hat. Reicht sie entsprechende Belege erstmals vor dem Bundesgericht ein, sind diese neu und unzulässig ( Art. 99 Abs. 1 BGG und E. 3.3 oben; vgl. BGE 115 II 484 E. 2a S. 485 f.). Auf diese Rüge ist demnach nicht einzutreten (vgl. E. 3.2 oben).</w:t>
      </w:r>
    </w:p>
    <w:p>
      <w:r>
        <w:rPr>
          <w:b/>
        </w:rPr>
        <w:t>E. 4.3</w:t>
      </w:r>
    </w:p>
    <w:p>
      <w:r>
        <w:t>Die Beschwerdeführerin wendet sich sodann gegen die Höhe der vom Obergericht berücksichtigten Ausgaben für den Arbeitsweg, für die Betreuung des Sohnes, für die Krankenkassen und den Internetanschluss. Abgesehen davon, dass die Beschwerdeführerin eine Auseinandersetzung mit den obergerichtlichen Feststellungen zur Höhe dieser Ausgabenpositionen vermissen lässt und sich mit der Darlegung der eigenen Sicht der Dinge begnügt, stützt sie sich dabei ausschliesslich auf Tatsachen (und entsprechende Beweismittel), die erst nach dem angefochtenen Entscheid entstanden sind (Schulwechsel des Sohnes und dadurch erhöhe Betreuungskosten; Krankenkassenprämie für das Jahr 2012; Internetanschluss; Beilagen 2 - 6) oder die bereits anlässlich des obergerichtlichen Verfahrens Bestand hatten, aber nicht vorgebracht wurden (Beilage 4; Kosten für das Essen und die Betreuung des Sohnes am Mittag in der Schule). Darauf ist nicht einzutreten (vgl. E. 3.3 oben).</w:t>
      </w:r>
    </w:p>
    <w:p>
      <w:r>
        <w:rPr>
          <w:b/>
        </w:rPr>
        <w:t>E. 4.4.1</w:t>
      </w:r>
    </w:p>
    <w:p>
      <w:r>
        <w:t>Das Obergericht hat neben dem Nettoeinkommen der Beschwerdeführerin von Fr. 4'017.-- pro Monat auch berücksichtigt, dass sie zusätzlich einen variablen Jahresbonus erhält. Dieser habe in den Vorjahren durchschnittlich Fr. 12'500.-- betragen (Fr. 16'000.-- im Jahr 2008; Fr. 9'500.-- im Jahr 2009; Fr. 12'000.-- im Jahr 2010). Da auch zukünftig davon ausgegangen werden könne, dass die Beschwerdeführerin einen Bonus erhalte, hat es diesen Durchschnittswert berücksichtigt und ist so zu einem Gesamtnettoeinkommen von rund Fr. 5'000.-- pro Monat gelangt.</w:t>
      </w:r>
    </w:p>
    <w:p>
      <w:r>
        <w:rPr>
          <w:b/>
        </w:rPr>
        <w:t>E. 4.4.2</w:t>
      </w:r>
    </w:p>
    <w:p>
      <w:r>
        <w:t>Die Beschwerdeführerin macht geltend, sie habe vor Obergericht mittels einer Bestätigung des Arbeitgebers dargelegt, dass dieser Bonus variabel sei und demnach in einem schlechteren Jahr auch entfallen könne. Wenn das Obergericht ihr trotzdem einen Bonus von durchschnittlich Fr. 12'500.-- anrechne, sei dies "pure Spekulation und nicht rechtens".</w:t>
      </w:r>
    </w:p>
    <w:p>
      <w:r>
        <w:rPr>
          <w:b/>
        </w:rPr>
        <w:t>E. 4.4.3</w:t>
      </w:r>
    </w:p>
    <w:p>
      <w:r>
        <w:t>Zurecht beanstandet die Beschwerdeführerin in rechtlicher Hinsicht nicht, dass auch Boni (wie Gratifikationen) als Einkommensbestandteile zu berücksichtigen sind (statt vieler: TAPPY, in: Code de procédure civile commenté, 2011, N. 23 zu Art. 117 ZPO ; EMMEL, in: Sutter-Somm und andere [Hrsg.], Kommentar zur Schweizerischen Zivilprozessordnung, 2010, N. 6 zu Art. 117 ZPO ). Sodann kann offen gelassen werden, ob sie den Anforderungen an eine Sachverhaltsrüge (vgl. E. 3.2 oben) zu genügen vermag, da sich ihre Rüge als unbegründet erweist: Was die tatsächliche Höhe unregelmässiger Einkünfte betrifft, ist von Durchschnittswerten auszugehen (TAPPY, a.a.O., N. 23 zu Art. 117 ZPO ; CORBOZ, in: Commentaire de la LTF, 2009, N. 23 zu Art. 64 BGG ; RIES, Die unentgeltliche Rechtspflege nach der aargauischen Zivilprozessordnung, 1990, S. 73 f.). Das Obergericht ist davon ausgegangen, dass die Beschwerdeführerin auch zukünftig einen Bonus erhalten wird und hat für dessen Höhe auf den Durchschnitt der letzten drei Jahre abgestellt. Dies ist nicht zu beanstanden.</w:t>
      </w:r>
    </w:p>
    <w:p>
      <w:r>
        <w:rPr>
          <w:b/>
        </w:rPr>
        <w:t>E. 5</w:t>
      </w:r>
    </w:p>
    <w:p>
      <w:r>
        <w:t>Aus den dargelegten Gründen muss die Beschwerde abgewiesen werden, soweit darauf einzutreten ist. Die Beschwerdeführerin wird kosten-, nicht hingegen entschädigungspflichtig ( Art. 66 und Art. 68 BGG ). Ihrem Gesuch um unentgeltliche Rechtspflege für das bundesgerichtliche Verfahren kann nicht entsprochen werden, zeigen doch die vorstehenden Erwägungen auf, dass ihre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