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449/2018 vom 14. März 2019</w:t>
      </w:r>
    </w:p>
    <w:p>
      <w:r>
        <w:t>Bundesgericht, 2019-03-14, DE</w:t>
      </w:r>
    </w:p>
    <w:p>
      <w:r>
        <w:rPr>
          <w:b/>
        </w:rPr>
        <w:t xml:space="preserve">Quelle: </w:t>
      </w:r>
      <w:r>
        <w:t>https://mcp.opencaselaw.ch/entscheid/bger_5A_449_2018</w:t>
      </w:r>
    </w:p>
    <w:p>
      <w:r>
        <w:t>FR: TF 5A 449/2018 du 14 mars 2019</w:t>
      </w:r>
    </w:p>
    <w:p>
      <w:r>
        <w:t>IT: TF 5A 449/2018 del 14 marzo 2019</w:t>
      </w:r>
    </w:p>
    <w:p>
      <w:pPr>
        <w:pStyle w:val="Heading2"/>
      </w:pPr>
      <w:r>
        <w:t>Regeste</w:t>
      </w:r>
    </w:p>
    <w:p>
      <w:r>
        <w:t>Bewilligung Rechtsvorschlag bei Bestreitung neuen Vermögens; unentgeltliche Rechtspflege | Schuldbetreibungs- und Konkursrecht</w:t>
      </w:r>
    </w:p>
    <w:p>
      <w:pPr>
        <w:pStyle w:val="Heading2"/>
      </w:pPr>
      <w:r>
        <w:t>Erwägungen</w:t>
      </w:r>
    </w:p>
    <w:p>
      <w:r>
        <w:rPr>
          <w:b/>
        </w:rPr>
        <w:t>E. 1.1</w:t>
      </w:r>
    </w:p>
    <w:p>
      <w:r>
        <w:t>Die Beschwerde richtet sich gegen das Urteil des Kantonsgerichts, welches primär die Unzulässigkeit der Beschwerde gegen die Verweigerung des Rechtsvorschlages zufolge Feststellung neuen Vermögens ( Art. 265a Abs. 1 SchKG ) zum Gegenstand hat und einen Endentscheid in einer Schuldbetreibungs- und Konkurssache mit Vermögenswert darstellt ( Art. 72 Abs. 2 lit. a BGG ; vgl. BGE 134 III 524 E. 1.1 und 1.2).</w:t>
      </w:r>
    </w:p>
    <w:p>
      <w:r>
        <w:rPr>
          <w:b/>
        </w:rPr>
        <w:t>E. 1.2</w:t>
      </w:r>
    </w:p>
    <w:p>
      <w:r>
        <w:t>Das Kreisgericht hat im summarischen Verfahren die Frage nach dem Vorliegen neuen Vermögens beurteilt, wogegen kein (kantonales) Rechtsmittel gegeben ist ( Art. 265a Abs. 1 SchKG ; BGE 138 III 130 E. 2.2). Der Entscheid des Kreisgerichts stellt einen letztinstanzlichen Entscheid ( Art. 75 Abs. 1 BGG ) dar, wenn eine Gehörsrüge vorgebracht wird, weil eine allfällige Verletzung im nachfolgenden Verfahren ( Art. 265a Abs. 4 SchKG ) nicht mehr geheilt werden kann ( BGE 134 III 524 E. 1.3 a.E.; 138 III 44 E. 1.3). Der Entscheid des Kreisgerichts ist vorliegend nicht Anfechtungsgegenstand und eine dagegen gerichtete Beschwerde an das Bundesgericht wäre offensichtlich verspätet.</w:t>
      </w:r>
    </w:p>
    <w:p>
      <w:r>
        <w:rPr>
          <w:b/>
        </w:rPr>
        <w:t>E. 1.3</w:t>
      </w:r>
    </w:p>
    <w:p>
      <w:r>
        <w:t>Gegen die Kostenregelung des Sachrichters ist die Beschwerde an die Rechtsmittelinstanz möglich ( Art. 110 ZPO ; BGE 138 III 130 E. 2.2). Ebenso ist die Abweisung des Gesuchs um Gewährung der unentgeltlichen Rechtspflege für das Bewilligungsverfahren ( Art. 265a Abs. 1 SchKG ) mit Beschwerde nach Art. 319 ff. ZPO anfechtbar ( Art. 121 ZPO ; Urteil 5A_415/2017 vom 18. Dezember 2018 E. 2.2). Ein abschlägiger kantonaler Beschwerdeentscheid kann alsdann grundsätzlich an das Bundesgericht weitergezogen werden.</w:t>
      </w:r>
    </w:p>
    <w:p>
      <w:r>
        <w:rPr>
          <w:b/>
        </w:rPr>
        <w:t>E. 1.4</w:t>
      </w:r>
    </w:p>
    <w:p>
      <w:r>
        <w:t>Ob der für die Beschwerde in Zivilsachen erforderliche Streitwert von Fr. 30'000.-- erreicht wird (vgl. Art. 74 Abs. 1 lit. b BGG i.V.m. Art. 51 Abs. 1 lit. a BGG ), ist mit Blick auf das im vorinstanzlichen Verfahren konkret strittig gebliebene finanzielle Interesse fraglich, braucht angesichts des Ausgangs des Verfahrens vorliegend aber nicht weiter e rörtert zu werden. Wie die nachfolgenden Erwägungen aufzeigen, vermöchte die Eingabe des Beschwerdeführers den gesetzlichen Begründungsanforderungen selbst bei Entgegennahme als Beschwerde in Zivilsachen (statt allenfalls als Verfassungsbeschwerde) nicht zu genügen.</w:t>
      </w:r>
    </w:p>
    <w:p>
      <w:r>
        <w:rPr>
          <w:b/>
        </w:rPr>
        <w:t>E. 2</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140 III 115 E. 2). Der vorinstanzlich festgestellte Sachverhalt ist für das Bundesgericht grundsätzlich verbindlich ( Art. 105 Abs. 1 BGG ). Die Feststellung des Sachverhalts kann nur gerügt werden, wenn sie offensichtlich unrichtig - d.h. willkürlich ( Art. 9 BV ; BGE 135 III 127 E. 1.5 mit Hinweis)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und, soweit möglich, belegte Rügen. Es genügt nicht, einen von den tatsächlichen Feststellungen der Vorinstanz abweichenden Sachverhalt zu behaupten. Auf solche rein appellatorische Kritik tritt das Bundesgericht nicht ein ( BGE 140 III 264 E. 2.3 mit Hinweisen).</w:t>
      </w:r>
    </w:p>
    <w:p>
      <w:r>
        <w:rPr>
          <w:b/>
        </w:rPr>
        <w:t>E. 3</w:t>
      </w:r>
    </w:p>
    <w:p>
      <w:r>
        <w:t>Die Vorinstanz hat erwogen, der Schuldner werfe dem Kreisgericht in der Hauptsache vor, die Frage, ob er seit der Ausstellung der Konkursverlustscheine zu neuem Vermögen gekommen sei, falsch beurteilt zu haben. Es gehe also ausschliesslich um Aspekte, über welche der erstinstanzliche Richter gemäss dem klaren Wortlaut von Art. 265a Abs. 1 Satz 2 SchKG endgültig entscheidet. Auf die Beschwerde könne daher nicht eingetreten werden. Mit Bezug auf die unentgeltliche Rechtspflege hat die Vorinstanz dem Beschwerdeführer erörtert, dass diese nicht gewährt werde, wenn der Überschuss ausreiche, um die Prozesskosten innert einem Jahr (in komplizierten Fällen innert zwei Jahren) zu bezahlen. Die Erstinstanz hat diese Voraussetzung als gegeben erachtet, weil der Beschwerdeführer mit dem errechneten Freibetrag von Fr. 321.-- pro Monat in der Lage sei, die Prozesskosten (Gerichtskosten von Fr. 500.-- und in Rechnung gestelltes Honorar von Fr. 3'258.75) innert einem Jahr zu bezahlen. Ausgehend von der erstinstanzlichen Berechnung hat die Vorinstanz geprüft, wie es sich mit den vom Beschwerdeführer kritisierten Positionen Berufsauslagen und Steuern verhält. Die vom Schuldner im Beschwerdeverfahren neu eingereichte Veranlagungsverfügung vom 18. Oktober 2017 hat sie dabei gestützt auf Art. 326 Abs. 1 ZPO als unzulässiges neues Beweismittel nicht berücksichtigt. Im Übrigen hat sie erwogen, dass der Beschwerdeführer nicht dargetan habe und auch nicht ersichtlich sei, inwiefern die Feststellung der Vorinstanz, dass aktuell keine Steuern zu bezahlen seien, willkürlich sei. Hinsichtlich der Berufsauslagen scheine allenfalls eine Erhöhung von Fr. 529.-- auf Fr. 568.-- diskutabel. Selbst ein Freibetrag von bloss Fr. 282.-- (= Fr. 321.--./. Fr. 39.--) erlaube es dem Schuldner jedoch, die Prozesskosten des Bewilligungsverfahrens ratenweise selber zu bezahlen. Die Beschwerde sei hinsichtlich der Nichtbewilligung der unentgeltlichen Rechtspflege daher abzuweisen.</w:t>
      </w:r>
    </w:p>
    <w:p>
      <w:r>
        <w:rPr>
          <w:b/>
        </w:rPr>
        <w:t>E. 4</w:t>
      </w:r>
    </w:p>
    <w:p>
      <w:r>
        <w:t>Der Beschwerdeführer setzt sich mit der vorinstanzlichen Begründung nicht auseinander. Weshalb die Vorinstanz auf die Beschwerde gegen die Verweigerung des Rechtsvorschlags mangels neuen Vermögens hätte eintreten müssen, geht aus seinen Ausführungen nicht ansatzweise hervor, aber auch hinsichtlich der Abweisung der Beschwerde gegen die Verweigerung der unentgeltlichen Rechtspflege für das Bewilligungsverfahren geht der Beschwerdeführer nicht in nachvollziehbarer Weise auf die vorinstanzlichen Erwägungen ein. So äussert sich der Beschwerdeführer grösstenteils zu Positionen seines prozessualen Existenzminimums, welche er im obergerichtlichen Verfahren nach den unbestritten gebliebenen vorinstanzlichen Sachverhaltsfeststellungen gar nicht beanstandet bzw. vorgebracht hatte (Wohnkosten, Selbstbehalt Krankenkasse, Hausrat/Haftpflicht, Rückzahlung Kredit an Bank B.________ etc.). Eine Verletzung von Bundesrecht (namentlich auch des angerufenen Grundsatzes des rechtlichen Gehörs) durch die Vorinstanz vermag er damit von vornherein nicht aufzuzeigen. Im Übrigen bleibt seine Kritik an den vorinstanzlichen Sachverhaltsfeststellungen rein appellatorisch, weshalb nicht darauf eingetreten werden kann.</w:t>
      </w:r>
    </w:p>
    <w:p>
      <w:r>
        <w:rPr>
          <w:b/>
        </w:rPr>
        <w:t>E. 5</w:t>
      </w:r>
    </w:p>
    <w:p>
      <w:r>
        <w:t>Schliesslich rügt der Beschwerdeführer die Abweisung seines Gesuchs um unentgeltliche Rechtspflege für das vorinstanzliche Verfahren. Die Vorinstanz hat die Aussichtslosigkeit hinsichtlich des Verfahrens betreffend die Bewilligung des Rechtsvorschlags mangels neuen Vermögens unter Hinweis auf die eindeutige gesetzliche Regelung begründet. Hinsichtlich der Beschwerde gegen die Verweigerung der unentgeltlichen Rechtspflege im Bewilligungsverfahren hat sie dem Beschwerdeführer vorgeworfen, dass sich dieser im Wesentlichen mit der Geltendmachung unzulässiger Noven begnügt und sich mit dem erstinstanzlichen Entscheid nicht hinreichend auseinandergesetzt habe. Der Beschwerdeführer übergeht diesen Vorwurf und begründet die fehlende Aussichtslosigkeit des bei der Vorinstanz eingereichten Rechtsmittels bloss damit, dass die Vorinstanzen nicht alle Kosten berücksichtigt hätten. Auch insoweit genügt die Beschwerde den Begründungsanforderungen von Art. 42 Abs. 2 und Art. 106 Abs. 2 BGG nicht.</w:t>
      </w:r>
    </w:p>
    <w:p>
      <w:r>
        <w:rPr>
          <w:b/>
        </w:rPr>
        <w:t>E. 6</w:t>
      </w:r>
    </w:p>
    <w:p>
      <w:r>
        <w:t>Aus den dargelegten Gründen kann auf die Beschwerde insgesamt nicht eingetreten werden.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