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449/2008 vom 15. September 2008</w:t>
      </w:r>
    </w:p>
    <w:p>
      <w:r>
        <w:t>Bundesgericht, 2008-09-15, DE</w:t>
      </w:r>
    </w:p>
    <w:p>
      <w:r>
        <w:rPr>
          <w:b/>
        </w:rPr>
        <w:t xml:space="preserve">Quelle: </w:t>
      </w:r>
      <w:r>
        <w:t>https://mcp.opencaselaw.ch/entscheid/bger_5A_449_2008</w:t>
      </w:r>
    </w:p>
    <w:p>
      <w:r>
        <w:t>FR: TF 5A 449/2008 du 15 septembre 2008</w:t>
      </w:r>
    </w:p>
    <w:p>
      <w:r>
        <w:t>IT: TF 5A 449/2008 del 15 settembre 2008</w:t>
      </w:r>
    </w:p>
    <w:p>
      <w:pPr>
        <w:pStyle w:val="Heading2"/>
      </w:pPr>
      <w:r>
        <w:t>Regeste</w:t>
      </w:r>
    </w:p>
    <w:p>
      <w:r>
        <w:t>Vorsorgliche Massnahmen während des Scheidungsverfahrens | Familienrecht</w:t>
      </w:r>
    </w:p>
    <w:p>
      <w:pPr>
        <w:pStyle w:val="Heading2"/>
      </w:pPr>
      <w:r>
        <w:t>Erwägungen</w:t>
      </w:r>
    </w:p>
    <w:p>
      <w:r>
        <w:rPr>
          <w:b/>
        </w:rPr>
        <w:t>E. 1</w:t>
      </w:r>
    </w:p>
    <w:p>
      <w:r>
        <w:t>Der kantonal letztinstanzliche Entscheid über vorsorgliche Massnahmen im Sinne von Art. 137 ZGB unterliegt der Beschwerde gemäss Art. 72 ff. BGG . Die Beschwerdegründe sind auf die Verletzung verfassungsmässiger Rechte beschränkt ( Art. 98 BGG ; vgl. BGE 133 III 393 E. 5.1 S. 397). Auf die Beschwerde kann grundsätzlich eingetreten werden.</w:t>
      </w:r>
    </w:p>
    <w:p>
      <w:r>
        <w:rPr>
          <w:b/>
        </w:rPr>
        <w:t>E. 2</w:t>
      </w:r>
    </w:p>
    <w:p>
      <w:r>
        <w:t>Eine Verletzung seines Anspruchs auf rechtliches Gehör erblickt der Beschwerdeführer darin, dass sich das Obergericht mit seinen Vorbringen nicht auseinandergesetzt habe, die ihm von der Militärversicherung ausgerichtete Integritätsschadenrente habe Genugtuungscharakter und dürfe ihm deshalb nicht als Einkommen angerechnet werden (S. 14 Ziff. 6 der Beschwerdeschrift). Das Obergericht hat unter anderem dagegengehalten, Leistungen aus Sozialversicherungen im weitesten Sinn gehörten zum Einkommen (E. 7 S. 4 des angefochtenen Urteils). Die Begründung genügt verfassungsmässigen Anforderungen ( Art. 29 Abs. 2 BV ). Entgegen der Darstellung des Beschwerdeführers ist es nicht erforderlich, dass das Obergericht sich mit allen Parteistandpunkten einlässlich auseinandersetzt und jedes einzelne Vorbringen ausdrücklich widerlegt. Vielmehr kann es sich auf die für das Urteil wesentlichen Punkte beschränken. Die Begründung muss so abgefasst sein, dass sich der Betroffene über die Tragweite des Urteils Rechenschaft geben und es in voller Kenntnis der Sache an die höhere Instanz weiterziehen kann ( BGE 134 I 83 E. 4.1 S. 88). Die Voraussetzung ist hier erfüllt. Die Rüge des Beschwerdeführers erweist sich als unbegründet.</w:t>
      </w:r>
    </w:p>
    <w:p>
      <w:r>
        <w:rPr>
          <w:b/>
        </w:rPr>
        <w:t>E. 3</w:t>
      </w:r>
    </w:p>
    <w:p>
      <w:r>
        <w:t>Der Beschwerdeführer wirft dem Obergericht vor, es habe den Einkommensbegriff, der Art. 163 ZGB zugrunde liege, willkürlich ausgelegt. Der Einbezug der Integritätsentschädigung in die Berechnung seines Einkommens sei willkürlich erfolgt (S. 12 ff. Ziff. 5-9 der Beschwerdeschrift).</w:t>
      </w:r>
    </w:p>
    <w:p>
      <w:r>
        <w:rPr>
          <w:b/>
        </w:rPr>
        <w:t>E. 3.1</w:t>
      </w:r>
    </w:p>
    <w:p>
      <w:r>
        <w:t>Die Integritätsentschädigung - gleich wie die Genugtuungsleistung - bezweckt den Ausgleich immaterieller Unbill (vgl. BGE 133 V 224 E. 5.1 S. 230, für die Unfallversicherung). Nach dem Bundesgesetz über die Militärversicherung (MVG; SR 833.1) wird gegebenenfalls zusätzlich zur Invalidenrente (Art. 40 ff.) eine Integritätsschadenrente (Art. 48 ff.) ausgerichtet (vgl. BGE 121 V 157 E. 3b/cc S. 161). Ein Integritätsschaden gibt grundsätzlich dann Anspruch auf eine Rente der Militärversicherung, wenn der Versicherte objektiverweise im Lebensgenuss erheblich eingeschränkt ist. Die Schwere wird in Würdigung aller Umstände nach billigem Ermessen ermittelt ( Art. 49 Abs. 1 MVG ). Auf Grund ihres engen Sachzusammenhangs schliesst die Integritätsschadenrente Genugtuungsleistungen in Geld aus ( Art. 59 Abs. 2 MVG ; vgl. BGE 122 V 242 E. 2 und E. 4a S. 244 f.). Der Unterschied zwischen Genugtuung und Integritätsentschädigung liegt nicht im Zweckgedanken, sondern in der Art ihrer Bemessung (vgl. MAESCHI/SCHMIDHAUSER, Die Abgeltung von Integritätsschäden in der Militärversicherung, SZS 41/ 1997 S. 177 ff., S. 179 f.). Allerdings ist der Zweck der Integritätsschadenrente im Sozialversicherungsrecht nicht absolut geschützt. Leistungen mit Genugtuungscharakter werden im Bereich des Bundesgesetzes über Ergänzungsleistungen zur Alters-, Hinterlassenen- und Invalidenversicherung (ELG; SR 831.30) als Einnahmen angerechnet (vgl. Urteil P 41/04 vom 3. Dezember 2004, E. 3, zusammengefasst in: ZVW 60/2005 S. 126 und 145). Dasselbe gilt im Bereich des Bundesgesetzes über die Hilfe an Opfer von Straftaten (Opferhilfegesetz, OHG; SR 312.5; vgl. BGE 129 II 145 E. 3.5 S. 156 ff.).</w:t>
      </w:r>
    </w:p>
    <w:p>
      <w:r>
        <w:rPr>
          <w:b/>
        </w:rPr>
        <w:t>E. 3.2</w:t>
      </w:r>
    </w:p>
    <w:p>
      <w:r>
        <w:t>Betreibungsrechtlich sind unter anderem Genugtuungsleistungen für Körperverletzung wie auch Integritätsentschädigungen nach MVG gemäss Art. 92 Abs. 1 Ziff. 9 SchKG unpfändbar (vgl. VONDER MÜHLL, Basler Kommentar, 1998, N. 34 zu Art. 92 SchKG ). Der Schutz wirkt nicht absolut. Denn zu beachten ist, dass sich der Schuldner einen Eingriff in sein Existenzminimum gefallen lassen muss, wenn er von Familienmitgliedern für Unterhaltsforderungen aus dem letzten Jahr vor der Zustellung des Zahlungsbefehls betrieben wird (vgl. VONDER Mühll, a.a.O., N. 38 ff. zu Art. 93 SchKG ; zuletzt: BGE 123 III 332 Nr. 52; Urteil 5C.77/2001 vom 6. September 2001, E. 2d/cc-dd, in: FamPra.ch 2002 S. 423 f.).</w:t>
      </w:r>
    </w:p>
    <w:p>
      <w:r>
        <w:rPr>
          <w:b/>
        </w:rPr>
        <w:t>E. 3.3</w:t>
      </w:r>
    </w:p>
    <w:p>
      <w:r>
        <w:t>Güterrechtlich werden Integritätsentschädigungen gleich den Genugtuungsansprüchen ( Art. 198 Ziff. 3 ZGB ) zum Eigengut und damit zu derjenigen Vermögensmasse eines Ehegatten gezählt, die grundsätzlich ausserhalb der ehelichen Interessengemeinschaft steht und hinsichtlich ihrer Substanz bei der Auflösung des Güterstandes keinerlei Ansprüchen des anderen Ehegatten ausgesetzt ist (vgl. Hinderling/Steck, Das schweizerische Ehescheidungsrecht, 4.A. Zürich 1995, S. 221 in Anm. 25; DESCHENAUX/STEINAUER/BADDELEY, Les effets du mariage, Bern 2000, S. 454 Anm. 64). Erträge des Eigenguts ( Art. 197 Abs. 2 Ziff. 4 ZGB ) und damit auch der Genugtuung fallen dann allerdings in die Errungenschaft, an der beide Ehegatten grundsätzlich gleichermassen beteiligt sind (Art. 210/215 ZGB; vgl. DESCHENAUX/STEINAUER/BADDELEY, a.a.O., N. 1004 S. 404). Ertrag aus Vermögen und, wo die anderen Mittel fehlen, das Vermögen selbst ist zur Bestreitung des laufenden Unterhalts einzusetzen. Das Einkommen ist nur die primäre Bemessungsgrundlage. Wo es nicht ausreicht, muss zur Bestreitung des Unterhalts auf das Vermögen zurückgegriffen werden (BRÄM, Zürcher Kommentar, 1998, N. 67 und N. 104 zu Art. 163 ZGB ). Unterhalt belastet damit zuerst die Errungenschaft, kann aber auch aus Eigengut bezahlt werden müssen (HAUSHEER/REUSSER/GEISER, Berner Kommentar, 1999, N. 60 zu Art. 163 ZGB ). Das Bundesgericht hat anerkannt, dass nachehelicher Unterhalt bei fehlendem Einkommen aus dem Vermögen zu bezahlen ist ( BGE 129 III 7 E. 3.1.2 S. 9; Urteil 5A_14/2008 vom 28. Mai 2008, E. 5), gegebenenfalls aus dem Eigengut (vgl. Urteil 5C.171/2003 vom 11. November 2003, E. 1, in: FamPra.ch 2004 S. 378). Dasselbe gilt für die Festsetzung des ehelichen Unterhalts. Zu dessen Deckung darf das Vermögen subsidiär beigezogen werden (Urteile 5P.173/2002 vom 29. Mai 2002, E. 5A, zusammengefasst in: FamPra.ch 2002 S. 806, und 5P.10/2002 vom 16. Juli 2002, E. 3c, in: FamPra.ch 2002 S. 835), gegebenenfalls auch das Eigengut eines Ehegatten (Urteil 5P.472/2006 vom 15. Januar 2007, E. 3.2 und 3.3, zusammengefasst in: FamPra.ch 2007 S. 396).</w:t>
      </w:r>
    </w:p>
    <w:p>
      <w:r>
        <w:rPr>
          <w:b/>
        </w:rPr>
        <w:t>E. 3.4</w:t>
      </w:r>
    </w:p>
    <w:p>
      <w:r>
        <w:t>Für die Einkommensbemessung im Unterhaltsrecht sollen Genugtuungsleistungen ausser Betracht fallen, da sie die Abgeltung seelischen Schmerzes und nicht materieller Einbusse bezwecken (vgl. HAUSHEER/ SPYCHER, Handbuch des Unterhaltsrechts, Bern 1997, N. 01.48 S. 47). Gleiches wird für sozialversicherungsrechtliche Integritätsentschädigungen angenommen (vgl. BASTONS BULLETTI, L'entretien après divorce: méthodes de calcul, montant, durée et limites, SJ 129/2007 II S. 77 ff., S. 82, mit Hinweis auf ein kantonales Urteil). Gegenteiliges kann das Obergericht aus dem Zürcher Kommentar nicht ableiten. Eine Integritätsschadenrente ist begrifflich (E. 3.1 soeben) kein Einkommen "aus irgend einer Art von Tätigkeit" (BRÄM, a.a.O., N. 69 zu Art. 163 ZGB ) und auch kein "Ersatzeinkommen, das anstelle von Arbeitseinkommen ganz, vorübergehend oder als Ergänzung dazu ausgerichtet wird" (Bräm, a.a.O., N. 89 zu Art. 163 ZGB ). Wenn es schliesslich heisst, "dass im Unterschied zum früheren Recht die Einkünfte von Ehefrau und Ehemann vollumfänglich zu berücksichtigen sind" (BRÄM, a.a.O., N. 110 zu Art. 163 ZGB ), ist damit lediglich gemeint, dass anders als im früheren Recht, wo der Ehemann für den Unterhalt zu sorgen hatte (aArt. 160 Abs. 2 ZGB) und die Ehefrau nur soweit erforderlich beitragspflichtig war (aArt. 192 und aArt. 246 ZGB), nach geltendem Recht die Einkünfte beider Ehegatten zur Bestimmung des gebührenden Unterhalts der Familie massgebend sind (HAUSHEER/REUSSER/GEISER, a.a.O., N. 22 zu Art. 163 ZGB ). Damit übereinstimmend hat das Bundesgericht in Anwendung von Art. 125 Abs. 2 Ziff. 5 ZGB ("Einkommen und Vermögen der Ehegatten") festgehalten, es sei in erster Linie das effektive Einkommen zu berücksichtigen, aber auch das Erwerbsersatzeinkommen mit einzubeziehen, worunter Leistungen von Sozial- und Privatversicherungen fallen, welche bei Verwirklichung bestimmter Risiken (Arbeitslosigkeit, Unfall, Krankheit oder Invalidität) den damit verbundenen Lohnausfall vorübergehend oder dauernd abdecken sollen. Zu einer ebenfalls ausgerichteten Invaliditäts-/ Integritätsentschädigung musste sich das Bundesgericht dabei nicht äussern, zumal deren Anrechnung nicht verlangt wurde (Urteil 5C.278/2002 vom 28. Januar 2003, E. 3.1, zusammengefasst in FamPra.ch 2003 S. 433).</w:t>
      </w:r>
    </w:p>
    <w:p>
      <w:r>
        <w:rPr>
          <w:b/>
        </w:rPr>
        <w:t>E. 3.5</w:t>
      </w:r>
    </w:p>
    <w:p>
      <w:r>
        <w:t>Genugtuungsleistungen und Integritätsentschädigungen an einen Ehegatten betreffen keine höchstpersönlichen Ansprüche. Ihre Zweckgebundenheit ist weder im öffentlichen Recht noch güterrechtlich absolut gewährleistet. Sie beeinflussen die Leistungsfähigkeit und werden in angespannten wirtschaftlichen Verhältnissen teils direkt - im öffentlichen Recht - als Einnahmen und teils mittelbar - im Privatrecht - als Vermögen oder Vermögensertrag angerechnet (E. 3.1 - 3.3 soeben). Ob sie zumindest teilweise auch bei der Festsetzung des ehelichen Unterhalts als Einkommen anzurechnen sind, muss auf Grund der Umstände des konkreten Einzelfalles beurteilt werden. Die Entschädigung wird vorliegend in Form einer monatlichen Rente ausbezahlt, was sie in die Nähe von wiederkehrendem Einkommen rückt. Die Integritätsschadenrente des Beschwerdeführers beträgt monatlich Fr. 1'006.-- und macht damit 15.4 % seiner gesamten Einkünfte aus. Wird sie nicht zum Einkommen gezählt, entsteht ein Fehlbetrag, den der Beschwerdeführer die Beschwerdegegnerin vollumfänglich tragen lässt (Beschwerde-Beilage Nr. 10) und der sich auf über Fr. 2'000.-- monatlich erhöhte, wenn die Beschwerdegegnerin nicht zusätzlich ein Erwerbseinkommen erzielte (Beschwerde-Beilage Nr. 2). Wird bei dieser Sachlage berücksichtigt, dass sich die Beschwerdegegnerin als obhutsberechtigte Mutter eines knapp 2 ½-jährigen Kindes eine ausserhäusliche Erwerbstätigkeit im Umfang von 30 % zumuten und das daraus erzielte Einkommen voll anrechnen lassen muss, kann unter Willkürgesichtspunkten nicht beanstandet werden, dass das Obergericht dem Beschwerdeführer die ihm zustehende Integritätsschadenrente teilweise als Einkommen angerechnet hat. Insgesamt erscheint es unter den gegebenen Umständen nicht als willkürlich, für den Unterhalt während der kurzen Dauer des Scheidungsverfahrens eine Integritätsschadenrente teilweise als Einkommen anzurechnen, damit ein Fehlbetrag im Familienunterhalt vorübergehend gedeckt werden kann ( Art. 9 BV ; vgl. zum Begriff: BGE 134 I 140 E. 5.4 S. 148). Wie die Rechtsfrage im Rahmen des nachehelichen Unterhalts ( Art. 125 ZGB ) und mit freier Prüfungsbefugnis zu beantworten wäre, ist heute nicht zu entscheiden (vgl. E. 3.4 soeben).</w:t>
      </w:r>
    </w:p>
    <w:p>
      <w:r>
        <w:rPr>
          <w:b/>
        </w:rPr>
        <w:t>E. 4</w:t>
      </w:r>
    </w:p>
    <w:p>
      <w:r>
        <w:t>Aus den dargelegten Gründen muss die Beschwerde abgewiesen werden, soweit darauf einzutreten ist. Der Beschwerdeführer wird damit kostenpflichtig ( Art. 66 Abs. 1 BGG ). Seinem Gesuch um unentgeltliche Rechtspflege kann entsprochen werden. Die Voraussetzungen dazu sind erfüllt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