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448/2021 vom 29. Oktober 2021</w:t>
      </w:r>
    </w:p>
    <w:p>
      <w:r>
        <w:t>Bundesgericht, 2021-10-29, FR</w:t>
      </w:r>
    </w:p>
    <w:p>
      <w:r>
        <w:rPr>
          <w:b/>
        </w:rPr>
        <w:t xml:space="preserve">Quelle: </w:t>
      </w:r>
      <w:r>
        <w:t>https://mcp.opencaselaw.ch/entscheid/bger_5A_448_2021</w:t>
      </w:r>
    </w:p>
    <w:p>
      <w:r>
        <w:t>FR: TF 5A 448/2021 du 29 octobre 2021</w:t>
      </w:r>
    </w:p>
    <w:p>
      <w:r>
        <w:t>IT: TF 5A 448/2021 del 29 ottobre 2021</w:t>
      </w:r>
    </w:p>
    <w:p>
      <w:pPr>
        <w:pStyle w:val="Heading2"/>
      </w:pPr>
      <w:r>
        <w:t>Regeste</w:t>
      </w:r>
    </w:p>
    <w:p>
      <w:r>
        <w:t>action en libération de dette, cédule hypothécaire remise en fiducie | Droit des poursuites et faillites</w:t>
      </w:r>
    </w:p>
    <w:p>
      <w:pPr>
        <w:pStyle w:val="Heading2"/>
      </w:pPr>
      <w:r>
        <w:t>Erwägungen</w:t>
      </w:r>
    </w:p>
    <w:p>
      <w:r>
        <w:rPr>
          <w:b/>
        </w:rPr>
        <w:t>E. 1</w:t>
      </w:r>
    </w:p>
    <w:p>
      <w:r>
        <w:t>L'arrêt entrepris - qui statue sur une action en libération de dette ( art. 83 al. 2 LP ) - est une décision finale ( art. 90 LTF ) prise en dernière instance cantonale et sur recours par un tribunal supérieur ( art. 75 LTF ), dans une contestation civile ( art. 72 al. 1 LTF ; arrêt 5A_70/2018 du 23 octobre 2018 consid. 1 et les références) de nature pécuniaire dont la valeur litigieuse requise est atteinte ( art. 74 al. 1 let. b LTF ). Le recours a en outre été déposé en temps utile ( art. 100 al. 1 LTF ) et dans la forme légale ( art. 42 al. 1 LTF ), par une partie qui a succombé dans ses conclusions devant l'autorité précédente ( art. 76 al. 1 LTF ). Le recours est donc recevable au regard de ces dispositions.</w:t>
      </w:r>
    </w:p>
    <w:p>
      <w:r>
        <w:rPr>
          <w:b/>
        </w:rPr>
        <w:t>E. 2.1</w:t>
      </w:r>
    </w:p>
    <w:p>
      <w:r>
        <w:t>Saisi d'un recours en matière civile,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("principe d'allégation", art. 106 al. 2 LTF ; ATF 146 IV 114 consid. 2.1; 144 II 313 consid. 5.1). Lorsque la décision attaquée repose sur plusieurs motivations indépendantes, alternatives ou subsidiaires, toutes suffisantes pour sceller le sort de la cause, il incombe au recourant, sous peine d'irrecevabilité, d'argumenter sur chacune d'elles ( ATF 142 III 364 consid. 2.4 et les références; 139 II 233 consid. 3.2; arrêts 6B_1051/2020 du 24 septembre 2021 consid. 3.3; 4A_212/2021 du 5 août 2021 consid. 2.1; 5A_399/2019 du 18 septembre 2020 consid. 2.2).</w:t>
      </w:r>
    </w:p>
    <w:p>
      <w:r>
        <w:rPr>
          <w:b/>
        </w:rPr>
        <w:t>E. 2.2</w:t>
      </w:r>
    </w:p>
    <w:p>
      <w:r>
        <w:t>Le Tribunal fédéral statue sur la base des faits établis par l'autorité précédente ( art. 105 al. 1 LTF ). Le recourant qui entend se plaindre que les faits ont été établis de façon manifestement inexacte - c'est-à-dire arbitraire ( art. 9 Cst. ; ATF 144 II 246 consid. 6.7; 143 I 310 consid. 2.2 et la référence) - ou en violation du droit doit se conformer au principe d'allégation sus-indiqué (cf. supra consid. 2.1).</w:t>
      </w:r>
    </w:p>
    <w:p>
      <w:r>
        <w:rPr>
          <w:b/>
        </w:rPr>
        <w:t>E. 3</w:t>
      </w:r>
    </w:p>
    <w:p>
      <w:r>
        <w:t>Le recourant se plaint d'une violation de l' art. 169 CC . Il soutient que la cession à l'intimée des cédules hypothécaires grevant le domicile conjugal était nulle, faute d'accord exprès de sa part.</w:t>
      </w:r>
    </w:p>
    <w:p>
      <w:r>
        <w:rPr>
          <w:b/>
        </w:rPr>
        <w:t>E. 3.1</w:t>
      </w:r>
    </w:p>
    <w:p>
      <w:r>
        <w:t>L'autorité cantonale a d'abord considéré qu'il n'était pas établi que le contrat-cadre conclu avec l'intimée eût aggravé la charge hypothécaire de l'immeuble. Au contraire, il y avait lieu de retenir qu'il constituait une simple reprise du précédent prêt, afin d'éviter la réalisation des gages. Ce motif imposait déjà d'écarter l'application de l' art. 169 CC . A u surplus, au moment de la conclusion du contrat-cadre, en juin 2009, l'immeuble ne constituait plus le logement familial des époux. Ceux-ci avaient en effet déjà pris des mesures pour le vendre le plus tôt possible et avaient d'ailleurs changé formellement de domicile le 30 septembre 2009. Il convenait encore de relever que le contrat n'avait été utilisé qu'en 2011, à la suite de la demande de l'épouse qu'une somme de 9'000'000 fr. lui soit versée; c'était également à ce moment-là que le transfert de propriété des cédules avait été concrétisé par le biais de leur remise à la banque. Le risque que celle-ci ne demande la réalisation de l'immeuble était donc né à une période où les conjoints n'habitaient clairement plus celui-ci, puisqu'ils ne l'avaient réintégré qu'à partir du 15 août 2012. Pour ce motif encore, l'application de l' art. 169 CC n'entrait pas en considération. En outre, vu sa qualité de codébiteur du prêt contracté auprès de D.________, le mari ne pouvait ignorer que celui-ci avait été dénoncé. On ne voyait donc pas qu'il n'ait pas eu connaissance de la conclusion d'un nouveau contrat de prêt pour rembourser le premier et éviter ainsi des poursuites de la part du précédent prêteur, comme le démontraient du reste ses déclarations. Il n'apparaissait pas non plus qu'il n'y ait pas consenti, ce nouveau prêt étant clairement dans son intérêt: il obtenait en effet la reconduction d'un crédit sans en être plus débiteur, mais en étant libéré du premier. Tout doute concernant son acceptation de la volonté de l'épouse d'emprunter de l'argent en mettant en garantie l'immeuble litigieux était encore totalement dissipé par le fait qu'il figurait en copie des courriels adressés à la banque en août 2010, lorsque l'épouse avait voulu concrètement obtenir le crédit octroyé, et qu'il ne s'était jamais opposé à ces demandes, alors que le montant prêté n'avait été versé qu'en mars 2011. Dans ces conditions, arguer de l'absence de consentement du mari était contraire à la bonne foi et n'était pas protégé par le droit ( art. 2 al. 2 CC ).</w:t>
      </w:r>
    </w:p>
    <w:p>
      <w:r>
        <w:rPr>
          <w:b/>
        </w:rPr>
        <w:t>E. 3.2</w:t>
      </w:r>
    </w:p>
    <w:p>
      <w:r>
        <w:t>Le recourant reproche à la cour cantonale d'avoir dénié la qualité de domicile conjugal à l'immeuble objet du gage. Il conteste en outre n'avoir pas démontré que le prêt accordé par l'intimée était supérieur à celui qui avait été remboursé et soutient qu'il excédait largement les 2/3 de la valeur vénale du bien-fonds, de sorte que son accord exprès était indispensable à la validité de la cession des titres hypothécaires par l'épouse. Les juges précédents auraient aussi violé le droit fédéral en considérant que le grief selon lequel la débitrice n'avait pas la capacité d'assumer la charge de la dette était sans objet. Ce faisant, le recourant ne s'en prend nullement à la troisième motivation de l'autorité cantonale relative à l'abus de droit, dont il ne tient aucun compte, alors qu'elle est en soi suffisante pour juger de l'affaire. Cette circonstance scelle le sort du recours dans le sens de la jurisprudence précitée (cf. supra consid. 2.1).</w:t>
      </w:r>
    </w:p>
    <w:p>
      <w:r>
        <w:rPr>
          <w:b/>
        </w:rPr>
        <w:t>E. 4</w:t>
      </w:r>
    </w:p>
    <w:p>
      <w:r>
        <w:t>En conclusion, le recours doit être déclaré irrecevable. La seconde requête d'effet suspensif devient dès lors sans objet. Le recourant, qui succombe, supportera les frais de la présente procédure ( art. 66 al. 1 LTF ). Il versera en outre des dépens à l'intimée pour ses déterminations sur les requêtes d'effet suspensif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