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447/2015 vom 14. August 2015</w:t>
      </w:r>
    </w:p>
    <w:p>
      <w:r>
        <w:t>Bundesgericht, 2015-08-14, DE</w:t>
      </w:r>
    </w:p>
    <w:p>
      <w:r>
        <w:rPr>
          <w:b/>
        </w:rPr>
        <w:t xml:space="preserve">Quelle: </w:t>
      </w:r>
      <w:r>
        <w:t>https://mcp.opencaselaw.ch/entscheid/bger_5A_447_2015</w:t>
      </w:r>
    </w:p>
    <w:p>
      <w:r>
        <w:t>FR: TF 5A 447/2015 du 14 août 2015</w:t>
      </w:r>
    </w:p>
    <w:p>
      <w:r>
        <w:t>IT: TF 5A 447/2015 del 14 agosto 2015</w:t>
      </w:r>
    </w:p>
    <w:p>
      <w:pPr>
        <w:pStyle w:val="Heading2"/>
      </w:pPr>
      <w:r>
        <w:t>Regeste</w:t>
      </w:r>
    </w:p>
    <w:p>
      <w:r>
        <w:t>Ausstand (Nachlass) | Erbrecht</w:t>
      </w:r>
    </w:p>
    <w:p>
      <w:pPr>
        <w:pStyle w:val="Heading2"/>
      </w:pPr>
      <w:r>
        <w:t>Erwägungen</w:t>
      </w:r>
    </w:p>
    <w:p>
      <w:r>
        <w:rPr>
          <w:b/>
        </w:rPr>
        <w:t>E. 4</w:t>
      </w:r>
    </w:p>
    <w:p>
      <w:r>
        <w:t>Nach dem Gesagten hält es vor Bundesrecht stand, wenn die Vorinstanz zum Schluss kommt, dass allein aus den zwei Bauaufträgen, die der Beschwerdegegner für B.________ ausgeführt hat, nicht auf eine Freundschaft geschlossen werden kann, die in ihrer Intensität und Qualität vom Mass des sozial Üblichen abweicht. Die Beschwerde ist also unbegründet. Sie ist abzuweisen. Der Beschwerdeführer unterliegt. Er hat deshalb für die Gerichtskosten aufzukommen ( Art. 66 Abs. 1 BGG ). Dem Beschwerdegegner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