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447/2014 vom 12. Januar 2015</w:t>
      </w:r>
    </w:p>
    <w:p>
      <w:r>
        <w:t>Bundesgericht, 2015-01-12, DE</w:t>
      </w:r>
    </w:p>
    <w:p>
      <w:r>
        <w:rPr>
          <w:b/>
        </w:rPr>
        <w:t xml:space="preserve">Quelle: </w:t>
      </w:r>
      <w:r>
        <w:t>https://mcp.opencaselaw.ch/entscheid/bger_5A_447_2014</w:t>
      </w:r>
    </w:p>
    <w:p>
      <w:r>
        <w:t>FR: TF 5A 447/2014 du 12 janvier 2015</w:t>
      </w:r>
    </w:p>
    <w:p>
      <w:r>
        <w:t>IT: TF 5A 447/2014 del 12 gennaio 2015</w:t>
      </w:r>
    </w:p>
    <w:p>
      <w:pPr>
        <w:pStyle w:val="Heading2"/>
      </w:pPr>
      <w:r>
        <w:t>Regeste</w:t>
      </w:r>
    </w:p>
    <w:p>
      <w:r>
        <w:t>Ausschluss aus der Miteigentümergemeinschaft | Sachenrecht</w:t>
      </w:r>
    </w:p>
    <w:p>
      <w:pPr>
        <w:pStyle w:val="Heading2"/>
      </w:pPr>
      <w:r>
        <w:t>Erwägungen</w:t>
      </w:r>
    </w:p>
    <w:p>
      <w:r>
        <w:rPr>
          <w:b/>
        </w:rPr>
        <w:t>E. 1</w:t>
      </w:r>
    </w:p>
    <w:p>
      <w:r>
        <w:t>Angefochten ist ein kantonal letztinstanzlicher Beschluss in einer den Mindeststreitwert von Fr. 30'000.-- übersteigenden Zivilrechtsstreitigkeit ( Art. 72 Abs. 1, Art. 74 Abs. 1 lit. b und Art. 75 Abs. 1 ZGB ), mit welchem die Sache zur Beweisführung und neuen Entscheidung an das Bezirksgericht zurückgewiesen worden ist. Rückweisungsentscheide sind grundsätzlich Zwischenentscheide gemäss Art. 93 BGG ( BGE 135 III 212 E. 1.2 S. 216). Zwischenentscheide können nur angefochten werden, wenn ein nicht wieder gutzumachender Nachteil droht ( Art. 93 Abs. 1 lit. a BGG ) oder wenn die Gutheissung der Beschwerde sofort einen Endentscheid herbeiführen und damit einen bedeutenden Aufwand an Zeit oder Kosten für ein weitläufiges Beweisverfahren ersparen würde ( Art. 93 Abs. 1 lit. b BGG ). Wenn die Beschwerdeführer geltend machen, der Rückweisungsentscheid sei schon nur deshalb beim Bundesgericht anfechtbar, weil dem Bezirksgericht verbindliche Anweisungen gemacht würden, scheinen sie auf die Rechtsprechung zu zielen, gemäss welcher ein Rückweisungsentscheid ausnahmsweise ein Endentscheid ist, nämlich dann, wenn der unteren Instanz, an welche zurückgewiesen wird, kein Entscheidungsspielraum mehr verbleibt und die Rückweisung nur noch der Umsetzung des oberinstanzlich Angeordneten dient ( BGE 135 V 141 E. 1.1 S. 143). Ein solcher Fall liegt hier aber nicht vor, geht es doch um Beweiserhebungen und hat das Obergericht festgehalten, dass bei gelungenem Beweis für die Vorwürfe gegebenenfalls ein Ausschluss gerechtfertigt sein könnte, womit ein erheblicher Ermessensspielraum verbleibt. Weiter berufen sich die Beschwerdeführer auf die Voraussetzung von Art. 93 Abs. 1 lit. b BGG . Ob sich angesichts der bereits konkretisierten Vorwürfe an das Ehepaar A.________ tatsächlich ein weitläufiges Beweisverfahren ersparen liesse, erscheint zweifelhaft. Ohnehin aber ist die Beschwerde auch in der Sache unbegründet.</w:t>
      </w:r>
    </w:p>
    <w:p>
      <w:r>
        <w:rPr>
          <w:b/>
        </w:rPr>
        <w:t>E. 2</w:t>
      </w:r>
    </w:p>
    <w:p>
      <w:r>
        <w:t>Die Beschwerdeführer gehen davon aus, dass mit den Begehren auf Ausschluss und Abgabe einer Willenserklärung auf Begründung von Stockwerkeigentum eine unzulässige alternative Klagenhäufung vorgelegen habe. Das Obergericht hat diesen bereits kantonal vorgetragenen Einwand nicht für zutreffend erachtet und befunden, die Begehren würden sich keineswegs gegenseitig ausschliessen, weil die übrigen Miteigentümer ein legitimes Interesse an der Beurteilung der Frage hätten, ob die konkreten Rechtsgrundlagen eine (gerichtliche) Verpflichtung der vier beklagten Miteigentümer zur Begründung von Stockwerkeigentum zuliessen bzw. ob diese ihre Miteigentümerpflichten verletzen würden, wenn sie dem klägerischen Ansinnen nicht nachkämen, Stockwerkeigentum zu begründen. Gleichzeitig hätten sie ein legitimes Interesse an der raschen Klärung der Frage, ob Gründe für den Ausschluss aus der Miteigentümergemeinschaft vorlägen; sodann stelle sich die Frage identisch für den Ausschluss von Stockwerkeigentümern, weil diesbezüglich die gleiche Regelung gelte. Die erstinstanzliche Klage und damit die Eintretensfrage richtete sich noch nach der ZPO/ZH, deren Anwendung nur auf Willkür hin überprüft werden kann ( BGE 138 I 143 E. 2 S. 150; 139 III 225 E. 2.3 S. 231; 139 III 252 E. 1.4 S. 254). Dies haben die Beschwerdeführer nicht verkannt, machen sie doch - eventualiter nebst Verletzungen der ZPO/CH - eine willkürliche Anwendung von § 51 i.V.m. § 54 Abs. 2 ZPO /ZH geltend. Sie bringen vor, mit dem Ausschluss aus der Miteigentümergemeinschaft sei es schlechterdings nicht mehr möglich, dass der ausgeschlossene Miteigentümer nach erfolgtem Ausschluss noch verpflichtet werde, sein gewöhnliches Miteigentum in Stockwerkeigentum umzuwandeln. Die Beschwerdeführer übergehen, dass der Ausschluss aus der Gemeinschaft nicht unmittelbar durch den Richterspruch, sondern erst durch den Verkauf bzw. die Versteigerung des Miteigentumsanteils erfolgt. Es ist deshalb sehr wohl denkbar, dass der Miteigentümer die gewünschte Willenserklärung zur Begründung von Stockwerkeigentum abgibt und er dann, je nachdem, ob das Stockwerkeigentum zwischenzeitlich schon begründet werden konnte, als gewöhnlicher Miteigentümer oder aber als Stockwerkeigentümer aus der Gemeinschaft ausscheidet. Insofern erscheinen die Erwägungen des Obergerichts nicht als willkürlich.</w:t>
      </w:r>
    </w:p>
    <w:p>
      <w:r>
        <w:rPr>
          <w:b/>
        </w:rPr>
        <w:t>E. 3</w:t>
      </w:r>
    </w:p>
    <w:p>
      <w:r>
        <w:t>Die Beschwerdeführer machen sodann einen Verstoss gegen Art. 649b Abs. 2 ZGB geltend. Es würden ihnen ausschliesslich Vorfälle entgegengehalten, welche sich nach dem Ermächtigungsbeschluss der Miteigentümergemeinschaft vom 10. Februar 2010 ereignet hätten. Ein Ausschluss aufgrund von erst nach dem Ermächtigungsbeschluss vorgefallenen Ereignissen sei aber nicht möglich, weil es gerade der Sinn des Ermächtigungsbeschlusses sei, die Gemeinschaft vor einer übereilten gerichtlichen Auseinandersetzung zu schützen, welche den Gemeinschaftsfrieden endgültig brechen könnte. Eine solche "Sachverhaltsfixierung" auf den Zeitpunkt des Ermächtigungsbeschlusses findet in Art. 649b Abs. 2 ZGB keine Stütze. Diese Norm regelt die Aktivlegitimation zur Ausschlussklage, indem bei bloss zwei Miteigentümern ein jeder klagelegitimiert ist, während ab drei Miteigentümern nicht ein Einzelner soll Klage führen dürfen, sondern ein ermächtigender Mehrheitsbeschluss nötig ist (vgl. Brunner/WichterMANN, Basler Kommentar, N. 20 zu Art. 648b ZGB ). Die Notwendigkeit eines solchen Mehrheitsbeschlusses entfaltet im Ergebnis eine starke Schutzwirkung zugunsten des Störers ( STRITTMATTER, Ausschluss aus Rechtsgemeinschaften, Zürich 202, S. 64; SCHMID-TSCHIRREN, Der Ausschluss aus privatrechtlichen Personenvereinigungen, recht 2006, S. 139), und zwar insbesondere dort, wo nur einer oder wenige Miteigentümer an einem störenden Verhalten leiden. Die Lehre geht davon aus, dass es sich beim Ermächtigungsbeschluss gemäss Art. 649b Abs. 2 ZGB nicht um eine Prozessvoraussetzung, sondern um eine materiell-rechtliche Voraussetzung handelt ( STRITTMATTER, a.a.O., S. 65 ff. m.w.H.). Als Folge wurde im Zusammenhang mit der seinerzeitigen analogen Bestimmung von aArt. 822 Abs. 3 OR betreffend Ausschluss eines Gesellschafters einer GmbH entschieden, dass der Beschluss auch erst im Verlauf des Prozesses gefasst werden könne (Obergericht Zürich vom 4. Dezember 1962 bzw. Bundesgericht vom 11. Juni 1963, publ. in Blätter für Zürcherische Rechtsprechung, Band 62, Jahrgang 1963, S. 294). Vor dem Hintergrund des Gesetzeswortlauts von Art. 649b Abs. 2 ZGB und des Zwecks des Ermächtigungsbeschlusses ist die obergerichtliche Erwägung, im gerichtlichen Urteil könne auf alle Ereignisse bzw. Vorbringen abgestellt werden, welche prozesskonform ins Verfahren eingebracht worden seien, bundesrechtskonform.</w:t>
      </w:r>
    </w:p>
    <w:p>
      <w:r>
        <w:rPr>
          <w:b/>
        </w:rPr>
        <w:t>E. 4</w:t>
      </w:r>
    </w:p>
    <w:p>
      <w:r>
        <w:t>Nach dem Gesagten ist die Beschwerde abzuweisen, soweit auf sie einzutreten ist. Die Gerichtskosten sind den Beschwerdeführern aufzuerlegen ( Art. 66 Abs. 1 und 5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