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445/2020 vom 7. Dezember 2020</w:t>
      </w:r>
    </w:p>
    <w:p>
      <w:r>
        <w:t>Bundesgericht, 2020-12-07, FR</w:t>
      </w:r>
    </w:p>
    <w:p>
      <w:r>
        <w:rPr>
          <w:b/>
        </w:rPr>
        <w:t xml:space="preserve">Quelle: </w:t>
      </w:r>
      <w:r>
        <w:t>https://mcp.opencaselaw.ch/entscheid/bger_5A_445_2020</w:t>
      </w:r>
    </w:p>
    <w:p>
      <w:r>
        <w:t>FR: TF 5A 445/2020 du 7 décembre 2020</w:t>
      </w:r>
    </w:p>
    <w:p>
      <w:r>
        <w:t>IT: TF 5A 445/2020 del 7 dicembre 2020</w:t>
      </w:r>
    </w:p>
    <w:p>
      <w:pPr>
        <w:pStyle w:val="Heading2"/>
      </w:pPr>
      <w:r>
        <w:t>Regeste</w:t>
      </w:r>
    </w:p>
    <w:p>
      <w:r>
        <w:t>décisions de l'assemblée générale ordinaire de la PPE | Droits réels</w:t>
      </w:r>
    </w:p>
    <w:p>
      <w:pPr>
        <w:pStyle w:val="Heading2"/>
      </w:pPr>
      <w:r>
        <w:t>Erwägungen</w:t>
      </w:r>
    </w:p>
    <w:p>
      <w:r>
        <w:rPr>
          <w:b/>
        </w:rPr>
        <w:t>E. 1</w:t>
      </w:r>
    </w:p>
    <w:p>
      <w:r>
        <w:t>Le recours est dirigé à l'encontre d'une décision finale ( art. 90 LTF ) prise en dernière instance cantonale et sur recours par un tribunal supérieur ( art. 75 LTF ), dans une contestation civile ( art. 72 al. 1 LTF ) de nature pécuniaire dont la valeur litigieuse atteint 30'000 fr. ( art. 74 al. 1 let. b LTF ); la recourante, qui a qualité pour recourir ( art. 76 al. 1 LTF ), a agi à temps (art. 100 al. 1 et 45 al. 1 LTF avec l' art. 1 let . e de la loi sur les jours fériés [RS GE J 1 45]).</w:t>
      </w:r>
    </w:p>
    <w:p>
      <w:r>
        <w:rPr>
          <w:b/>
        </w:rPr>
        <w:t>E. 2.1</w:t>
      </w:r>
    </w:p>
    <w:p>
      <w:r>
        <w:t>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143 IV 500 consid. 1.1; 140 III 115 consid. 2; 137 I 58 consid. 4.1.2; 136 II 304 consid. 2.4) - et si la correction du vice est susceptible d'influer sur le sort de la cause ( art. 97 al. 1 LTF ).</w:t>
      </w:r>
    </w:p>
    <w:p>
      <w:r>
        <w:rPr>
          <w:b/>
        </w:rPr>
        <w:t>E. 3</w:t>
      </w:r>
    </w:p>
    <w:p>
      <w:r>
        <w:t>La recourante reproche à la cour cantonale une violation de l' art. 712h al. 3 CC ainsi que l'établissement arbitraire des faits dans l'application de cette disposition.</w:t>
      </w:r>
    </w:p>
    <w:p>
      <w:r>
        <w:rPr>
          <w:b/>
        </w:rPr>
        <w:t>E. 3.1</w:t>
      </w:r>
    </w:p>
    <w:p>
      <w:r>
        <w:t>Selon l' art. 712h al. 1 CC , les copropriétaires contribuent proportionnellement à la valeur de leurs parts aux charges communes et aux frais de l'administration commune, dont l'al. 2 donne une liste exemplative. En font ainsi parties les charges et frais qui ont trait à l'exploitation et à l'entretien d'une installation ou d'un ouvrage commun. L' art. 712h al. 3 CC précise néanmoins que, si certaines parties du bâtiment, certains ouvrages ou installations ne servent que très peu ou pas du tout à certains copropriétaires, il en est tenu compte dans la répartition des frais. Cette dernière précision est de droit impératif ( ATF 117 II 251 consid. 5b; 112 II 312 consid. 3a; 107 II 141 consid. 3). Déterminer si une disposition règlementaire ou une décision de l'assemblée des propriétaires d'étages qui y serait contraire est nulle (en ce sens: MEIER-HAYOZ/REY, Berner Kommentar, 1988, n. 66 ad art. 712h CC ; BÖSCH, in Basler Kommentar, ZGB II, 6e éd. 2019, n. 8 ad art. 712h CC ; WERMELINGER, Zücher Kommentar, 2e éd. 2019, n. 73 ss ad art. 712h CC ; AMOOS PIGUET, in Commentaire romand, CC II, 2016, n. 7 ad art. 712h CC et les références) ou annulable (MARCHAND, Chacun chez soi, factures pour tous: la répartition des frais dans la propriété par étages, in : La propriété par étages, fondements théoriques et questions pratiques, 2003, p. 145 ss, 164 s.) est une question qui souffre ici de demeurer indécise. L'application de l' art. 712h al. 3 CC s'effectue avec retenue; elle nécessite de surcroît un examen objectif en ce sens que, concrètement, l'ouvrage ou l'installation ne doit pas du tout ou très peu servir à un propriétaire d'étage, sans tenir compte de ses besoins subjectifs ou d'une renonciation volontaire de celui-ci à cette utilisation ( ATF 117 II 251 consid. 5 et 6; 112 II 312 consid. 3).</w:t>
      </w:r>
    </w:p>
    <w:p>
      <w:r>
        <w:rPr>
          <w:b/>
        </w:rPr>
        <w:t>E. 3.2</w:t>
      </w:r>
    </w:p>
    <w:p>
      <w:r>
        <w:t>La cour cantonale a considéré que les frais de conciergerie - la recourante utilisait l'entrée de l'immeuble, la cour intérieure et le sous-sol -, l'éclairage commun - lequel permettait d'accéder à la boîte à lettres et au local poubelle -, et l'eau des parties communes - nécessaire au nettoyage de l'immeuble et des extérieurs - n'étaient pas inutiles à la recourante, laquelle n'expliquait au demeurant nullement la détermination des pourcentages de réduction de charges qu'elle réclamait. La répartition des charges proportionnellement aux parts de copropriété, telle que prévue par la loi, n'était ainsi pas contraire à l' art. 712h al. 3 CC . L'autorité cantonale a également relevé qu'en l'état de la jurisprudence, rien ne s'opposait à ce que la recourante fût contrainte de participer aux frais judiciaires et d'avocat de l'intimée relatifs aux procédures qui les opposaient et dans lesquelles elle avait succombé.</w:t>
      </w:r>
    </w:p>
    <w:p>
      <w:r>
        <w:rPr>
          <w:b/>
        </w:rPr>
        <w:t>E. 3.3</w:t>
      </w:r>
    </w:p>
    <w:p>
      <w:r>
        <w:t>La recourante s'en prend séparément à chacun des postes de charges susmentionnés.</w:t>
      </w:r>
    </w:p>
    <w:p>
      <w:r>
        <w:rPr>
          <w:b/>
        </w:rPr>
        <w:t>E. 3.3.1</w:t>
      </w:r>
    </w:p>
    <w:p>
      <w:r>
        <w:t>L'arrêt cantonal ne prête pas le flanc à la critique s'agissant des frais et honoraires de conciergerie. Certes, il n'est pas contesté que la recourante ne dispose ni de cave ni de buanderie au sous-sol et que son arcade est située au rez-de-chaussée avec une entrée séparée; il est néanmoins établi que l'exploitant de l'arcade utilise le hall commun où se trouve sa boîte aux lettres et fait également un usage commun de l'arrière-cour (issue de secours utilisée pour réceptionner les livraisons et passage pour le service de clients installés sur la terrasse voisine qu'elle exploite) : le témoignage de D.________ et le procès-verbal du transport sur place, auxquels la recourante se réfère expressément dans ses écritures, le confirment. Pour ces seules raisons déjà, l'activité du concierge apparaît donc manifestement utile à la recourante. Le défaut d'utilisation du local poubelle lié à l'adoption du règlement communal sur la gestion des déchets n'apparaît quant à lui pas établi: certes, ledit règlement prévoit que la commune n'assure plus la prise en charge des déchets ménagers des bars et restaurants notamment (art. 5 al. 2 et 4; art. 12 al. 1 du règlement sur la gestion des déchets; LC 21 911); elle continue toutefois d'assurer la collecte de leurs déchets recyclables (art. 12 al. 2 du règlement). Le local poubelle permettant le stockage de ce type de déchets avant leur collecte n'est donc pas dénué d'utilité à la recourante; la prise en charge des frais de conciergerie liés à son entretien est donc justifiée.</w:t>
      </w:r>
    </w:p>
    <w:p>
      <w:r>
        <w:rPr>
          <w:b/>
        </w:rPr>
        <w:t>E. 3.3.2</w:t>
      </w:r>
    </w:p>
    <w:p>
      <w:r>
        <w:t>La recourante s'oppose ensuite à la prise en charge des frais d'électricité communs, rappelant à cet égard qu'elle disposerait de son propre compteur électrique, relèverait son courrier en plein jour et n'utiliserait pas le local poubelle. L'on ne saisit pas en quoi le fait de disposer d'un compteur électrique pour sa propre consommation d'électricité dispenserait la recourante de s'acquitter des frais d'électricité afférents aux parties communes. L'on rappellera au surplus que le défaut d'utilisation du local poubelle n'a pas été démontré (consid. 3.3.1 supra); l'argument lié au fait que l'exploitant ne relèverait son courrier qu'en plein jour est quant à lui absolument appellatoire.</w:t>
      </w:r>
    </w:p>
    <w:p>
      <w:r>
        <w:rPr>
          <w:b/>
        </w:rPr>
        <w:t>E. 3.3.3</w:t>
      </w:r>
    </w:p>
    <w:p>
      <w:r>
        <w:t>La recourante invoque à nouveau disposer de son propre compteur d'eau afin d'être exonérée des frais relatifs à la consommation d'eau. L'argumentation développée à cet égard permet de constater qu'elle paraît confondre la consommation privée - liée à l'utilisation exclusive d'une part d'étage - et la consommation commune - liée à l'utilisation des parties communes -, laissant en effet entendre qu'en se voyant imputer des frais de consommation d'eau, elle participerait à la consommation d'eau privée des autres copropriétaires. Ce grief est à l'évidence infondé.</w:t>
      </w:r>
    </w:p>
    <w:p>
      <w:r>
        <w:rPr>
          <w:b/>
        </w:rPr>
        <w:t>E. 3.3.4</w:t>
      </w:r>
    </w:p>
    <w:p>
      <w:r>
        <w:t>La recourante reproche encore à la cour cantonale d'avoir refusé de l'exonérer des charges communes précitées en lui opposant de ne pas avoir expliqué la détermination des pourcentages de réduction qu'elle réclamait. Elle affirme sur ce point que la cour cantonale pouvait parfaitement nommer un expert afin de déterminer le pourcentage exact des frais communs dont elle devait être exonérée en vertu de art. 712h al. 3 CC . L'on rappellera toutefois à la recourante que le litige est ici soumis à la maxime des débats ( art. 55 al. 1 CPC ), en sorte que c'est à elle qu'il appartenait de déterminer le pourcentage sur lequel elle fondait son exonération; l'administration d'office d'une expertise n'est certes pas exclue dans ce contexte ( art. 183 al. 1 CPC ; arrêts 5A_723/2017 du 17 décembre 2018 consid. 6.5.2; 4A_146/2015 du 19 août 2015 consid. 4.3; VOUILLOZ, in Petit commentaire CPC, 2020, n. 4 ad art. 183 CPC ; DOLGE, in Basler Kommentar, ZPO, 3e éd. 2017, n. 2 ad art. 183 LTF ); toujours est-il que celle-ci doit porter sur des faits pertinents ( art. 150 al. 1 CPC ), ce qui n'a manifestement pas été retenu ici dans la mesure où les tribunaux ont considéré que les exonérations sollicitées n'étaient pas justifiées. Enfin, l'on ne voit pas comment ces pourcentages auraient pu être précisément établis sur la base du transport sur place effectué par le Tribunal, ainsi que l'allègue également l'intéressée.</w:t>
      </w:r>
    </w:p>
    <w:p>
      <w:r>
        <w:rPr>
          <w:b/>
        </w:rPr>
        <w:t>E. 3.3.5</w:t>
      </w:r>
    </w:p>
    <w:p>
      <w:r>
        <w:t>La recourante se plaint encore du refus de la cour cantonale de l'exonérer des frais judiciaires relatifs à des procédures l'ayant opposée à l'intimée et dans lesquelles elle aurait eu gain de cause. Elle se réfère à cet égard à une procédure parallèle, dans laquelle la PPE aurait été condamnée à lui remettre les clés du local poubelles. Il est cependant évident que, si la recourante s'opposait à cette participation, elle devait la contester dans le cadre de cette procédure et non dans celle sujette au présent recours, qui concerne une autre problématique et dans laquelle elle succombe. Le raisonnement développé par la cour cantonale dans ce dernier contexte n'est pas remis en cause par la recourante; il n'y a pas lieu d'y revenir.</w:t>
      </w:r>
    </w:p>
    <w:p>
      <w:r>
        <w:rPr>
          <w:b/>
        </w:rPr>
        <w:t>E. 4</w:t>
      </w:r>
    </w:p>
    <w:p>
      <w:r>
        <w:t>En définitive, le recours est rejeté dans la mesure où il est recevable. Les frais judiciaires sont mis à la charge de la recourante qui succombe ( art. 66 al. 1 LTF ). L'intimée peut prétendre à une indemnité de dépens pour ses déterminations sur la requête d'effet suspensif présentée par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