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5A_445/2017 vom 20. Juni 2017</w:t>
      </w:r>
    </w:p>
    <w:p>
      <w:r>
        <w:t>Bundesgericht, 2017-06-20, FR</w:t>
      </w:r>
    </w:p>
    <w:p>
      <w:r>
        <w:rPr>
          <w:b/>
        </w:rPr>
        <w:t xml:space="preserve">Quelle: </w:t>
      </w:r>
      <w:r>
        <w:t>https://mcp.opencaselaw.ch/entscheid/bger_5A_445_2017</w:t>
      </w:r>
    </w:p>
    <w:p>
      <w:r>
        <w:t>FR: TF 5A_445/2017 du 20 juin 2017</w:t>
      </w:r>
    </w:p>
    <w:p>
      <w:r>
        <w:t>IT: TF 5A_445/2017 del 20 giugno 2017</w:t>
      </w:r>
    </w:p>
    <w:p>
      <w:pPr>
        <w:pStyle w:val="Heading2"/>
      </w:pPr>
      <w:r>
        <w:t>Erwägungen</w:t>
      </w:r>
    </w:p>
    <w:p>
      <w:r>
        <w:rPr>
          <w:b/>
        </w:rPr>
        <w:t>E. 1</w:t>
      </w:r>
    </w:p>
    <w:p>
      <w:r>
        <w:t>Par décision du 11 mai 2017, la Chambre de surveillance de la Cour de justice du canton de Genève a partiellement admis le recours formé le 31 octobre 2016 par A.________ contre l'ordonnance rendue le 16 juin 2016 par le Tribunal de protection de l'adulte et de l'enfant C.________ réglant les modalités du droit aux relations personnelles entre la mineure et son père, B.________, annulé les chiffres 2 et 6 du dispositif de ladite ordonnance et statué à nouveau sur ces points en ce sens que la préparation de l'enfant au droit de visite de son père se fera par le Service médico-pédagogique des Hôpitaux universitaires de Genève, et fixant au 30 septembre 2017 le délai imparti aux curateurs pour remettre leur rapport sur la situation.</w:t>
      </w:r>
    </w:p>
    <w:p>
      <w:r>
        <w:rPr>
          <w:b/>
        </w:rPr>
        <w:t>E. 2</w:t>
      </w:r>
    </w:p>
    <w:p>
      <w:r>
        <w:t>Par acte du 14 juin 2017, A.________ exerce un recours en matière civile au Tribunal fédéral, concluant à l'annulation de la décision déférée et au renvoi de la cause à l'autorité précédente.</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la recourante se limite à prendre une conclusion cassatoire et en renvoi de la cause. Dès lors que le litige porte sur les prérogatives parentales sur sa fille mineure, singulièrement sur les modalités d'exercice de ces prérogatives, la recourante - assistée d'un avocat - était à l'évidence en mesure de prendre des conclusions réformatoires. Au demeurant, à la lecture de son acte de recours, les modifications qu'elle souhaiterait voir prononcées quant au droit de visite du père actuellement fixé ne sont pas d'emblée reconnaissables, quand bien même elle sollicite la mise en oeuvre d'une expertise familiale. Par conséquent, le recours est d'emblée irrecevable.</w:t>
      </w:r>
    </w:p>
    <w:p>
      <w:r>
        <w:t>Dans ces circonstances, le recours, manifestement irrecevable, doit être traité selon la procédure simplifiée prévue à l' art. 108 al. 1 let. a LTF , ce qui rend sans objet la demande d'effet suspensif formée par la recourante.</w:t>
      </w:r>
    </w:p>
    <w:p>
      <w:r>
        <w:rPr>
          <w:b/>
        </w:rPr>
        <w:t>E. 4</w:t>
      </w:r>
    </w:p>
    <w:p>
      <w:r>
        <w:t>Les frais judiciaires, arrêtés à 300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