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5A_445/2015 vom 13. Oktober 2015</w:t>
      </w:r>
    </w:p>
    <w:p>
      <w:r>
        <w:t>Bundesgericht, 2015-10-13, FR</w:t>
      </w:r>
    </w:p>
    <w:p>
      <w:r>
        <w:rPr>
          <w:b/>
        </w:rPr>
        <w:t xml:space="preserve">Quelle: </w:t>
      </w:r>
      <w:r>
        <w:t>https://mcp.opencaselaw.ch/entscheid/bger_5A_445_2015</w:t>
      </w:r>
    </w:p>
    <w:p>
      <w:r>
        <w:t>FR: TF 5A_445/2015 du 13 octobre 2015</w:t>
      </w:r>
    </w:p>
    <w:p>
      <w:r>
        <w:t>IT: TF 5A_445/2015 del 13 ottobre 2015</w:t>
      </w:r>
    </w:p>
    <w:p>
      <w:pPr>
        <w:pStyle w:val="Heading2"/>
      </w:pPr>
      <w:r>
        <w:t>Erwägungen</w:t>
      </w:r>
    </w:p>
    <w:p>
      <w:r>
        <w:rPr>
          <w:b/>
        </w:rPr>
        <w:t>E. 1.1</w:t>
      </w:r>
    </w:p>
    <w:p>
      <w:r>
        <w:t>L'arrêt entrepris est une décision finale ( art. 90 LTF ), rendue en matière civile ( art. 72 al. 1 LTF ), par un tribunal cantonal supérieur statuant sur recours ( art. 75 LTF ), dans une contestation pécuniaire dont la valeur litigieuse atteint 30'000 fr. ( art. 74 al. 1 let. b LTF ). La recourante, qui a qualité pour recourir ( art. 76 al. 1 LTF ), a agi dans le délai ( art. 100 al. 1 LTF ) prévu par la loi, de sorte que son recours est en principe recevable.</w:t>
      </w:r>
    </w:p>
    <w:p>
      <w:r>
        <w:rPr>
          <w:b/>
        </w:rPr>
        <w:t>E. 1.2</w:t>
      </w:r>
    </w:p>
    <w:p>
      <w:r>
        <w:t>La décision attaquée a été rédigée en allemand. Les parties sont cependant toutes deux francophones et le tribunal dont la décision est querellée est situé dans un canton dont les langues officielles sont le français et l'allemand. Le Tribunal de céans décide ainsi de rendre le présent arrêt en français ( art. 54 al. 1 2 ème phr. LTF).</w:t>
      </w:r>
    </w:p>
    <w:p>
      <w:r>
        <w:rPr>
          <w:b/>
        </w:rPr>
        <w:t>E. 2</w:t>
      </w:r>
    </w:p>
    <w:p>
      <w:r>
        <w:t>Seule fait l'objet du recours la possibilité de compenser le montant des contributions d'entretien destinées aux enfants jusqu'à leur majorité - dont l'intimé est débiteur - avec celui de la créance liée à la liquidation du régime matrimonial - dont l'intimé est créancier.</w:t>
      </w:r>
    </w:p>
    <w:p>
      <w:r>
        <w:rPr>
          <w:b/>
        </w:rPr>
        <w:t>E. 2.1.1</w:t>
      </w:r>
    </w:p>
    <w:p>
      <w:r>
        <w:t>Le premier juge a admis la compensation, estimant que la recourante était créancière des contributions d'entretien. Il a cependant limité la compensation aux montants des pensions dus jusqu'à la majorité des enfants, soulignant que la date jusqu'à laquelle celles-ci seraient versées était encore inconnue, car dépendante de la formation choisie par les enfants. Le premier juge a par ailleurs relevé qu'il appartenait aux parties de déterminer le montant des contributions dues jusqu'à la majorité des enfants dès lors qu'il ignorait celui qui demeurait impayé à ce jour.</w:t>
      </w:r>
    </w:p>
    <w:p>
      <w:r>
        <w:rPr>
          <w:b/>
        </w:rPr>
        <w:t>E. 2.1.2</w:t>
      </w:r>
    </w:p>
    <w:p>
      <w:r>
        <w:t>Le Tribunal cantonal a en revanche refusé la compensation, jugeant que la condition de réciprocité des créances n'était pas donnée. La recourante n'était pas créancière du montant des contributions d'entretien dont l'intimé était débiteur, seuls l'étant en effet ses enfants. La réciprocité ne pouvait être envisagée que dans l'hypothèse où ceux-ci auraient cédé leur créance à leur mère, ce qui n'était pas le cas en l'espèce.</w:t>
      </w:r>
    </w:p>
    <w:p>
      <w:r>
        <w:rPr>
          <w:b/>
        </w:rPr>
        <w:t>E. 2.2</w:t>
      </w:r>
    </w:p>
    <w:p>
      <w:r>
        <w:t>La recourante soutient que le comportement de son ex-époux serait constitutif d'abus de droit dans la mesure où il refuserait de payer les contributions alimentaires dues, n'aurait pas de biens saisissables et travaillerait à titre indépendant en France, de sorte que toute possibilité de procéder à l'encaissement des montants dont il est débiteur serait exclue. Or ce comportement abusif serait contraire au but poursuivi par l'art. 125 al. (recte: ch.) 2 CO qui est de protéger le créancier de la contribution d'entretien, à savoir certes les enfants, mais respectivement la personne qui en a la garde et qui peut, pendant leur minorité, faire valoir cette créance en leur nom. La recourante précise qu'elle n'est aucunement en mesure de verser le montant résultant de la liquidation du régime matrimonial dans un délai de 60 jours dès l'entrée en force du jugement et qu'il serait incontestablement dans l'intérêt des enfants de pouvoir faire valoir la compensation afin d'éviter que leur situation familiale empire.</w:t>
      </w:r>
    </w:p>
    <w:p>
      <w:r>
        <w:rPr>
          <w:b/>
        </w:rPr>
        <w:t>E. 2.3.1</w:t>
      </w:r>
    </w:p>
    <w:p>
      <w:r>
        <w:t>Les contributions d'entretien sont dues à l'enfant et sont versées durant sa minorité à son représentant légal ou au parent qui en assume la garde ( art. 289 al. 1 CC ). Le créancier de l'entretien est donc l'enfant lui-même (arrêts 5D_103/2009 du 20 août 2009 consid. 1.3 et la référence; 5C.314/2001 du 20 juin 2002 consid. 9 non publié aux ATF 128 III 305 ; MEIER/STETTLER, Droit de la filiation, 5e éd. 2014, n. 1056), même si, durant sa minorité, son représentant légal est en droit de les réclamer en son propre nom et à la place de l'intéressé (" Prozessstandschaft "; ATF 136 III 365 consid. 2.2).</w:t>
      </w:r>
    </w:p>
    <w:p>
      <w:r>
        <w:rPr>
          <w:b/>
        </w:rPr>
        <w:t>E. 2.3.2</w:t>
      </w:r>
    </w:p>
    <w:p>
      <w:r>
        <w:t>Aux termes de l' art. 120 al. 1 CO , lorsque deux personnes sont débitrices l'une envers l'autre de sommes d'argent ou d'autres prestations de même espèce, chacune des parties peut compenser sa dette avec sa créance, si les deux dettes sont exigibles. L'une des conditions préalables à la compensation consiste donc dans la réciprocité des créances, en ce sens que les intéressés doivent être à la fois débiteurs et créanciers l'un de l'autre (notamment: ATF 134 III 643 consid. 5.5.1; 132 III 342 consid. 4.3 et les références; JEANDIN, in Commentaire romand, Code des obligations I, 2e éd. 2012, n. 1 ss ad art. 120 CO ).</w:t>
      </w:r>
    </w:p>
    <w:p>
      <w:r>
        <w:t>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(arrêts 5D_103/2009 précité consid. 1.3; 5C.314/2001 précité consid. 9; ZELLWEGER-GUTKNECHT, Berner Kommentar, 2012, n. 163 ad art. 120 CO ; Aepli, Zürcher Kommentar, 3e éd. 1991, n. 35 et 39 ad art. 120 CO ).</w:t>
      </w:r>
    </w:p>
    <w:p>
      <w:r>
        <w:rPr>
          <w:b/>
        </w:rPr>
        <w:t>E. 2.4</w:t>
      </w:r>
    </w:p>
    <w:p>
      <w:r>
        <w:t>Il s'ensuit que la recourante ne peut en l'espèce prétendre à compenser les créances d'entretien dont ses enfants sont seuls bénéficiaires à l'encontre de son ex-mari avec la créance dont celui-ci dispose à son égard au titre de la liquidation du régime matrimonial. L'invocation de l' art. 125 ch. 2 CO , qui prévoit que les créances d'aliments nécessaires à l'entretien du créancier et à celui de sa famille ne peuvent être éteintes par compensation contre sa volonté, n'est à cet égard d'aucun secours à la recourante; de même, la référence à l'attitude prétendument abusive de son ex-époux ne lui permet pas de contourner l'absence de réciprocité des créances dont elle sollicite la compensation.</w:t>
      </w:r>
    </w:p>
    <w:p>
      <w:r>
        <w:rPr>
          <w:b/>
        </w:rPr>
        <w:t>E. 3</w:t>
      </w:r>
    </w:p>
    <w:p>
      <w:r>
        <w:t>En définitive, le recours est rejeté. Attendu que les conclusions de la recourante étaient vouées à l'échec, sa requête d'assistance judiciaire est rejetée ( art. 64 al. 1 LTF ) et les frais du recours sont mis à sa charge (art. 66 al. 1LTF). Il n'y a pas lieu d'attribuer de dépens à l'intimé qui ne s'est pas déterminé sur la requête d'effet suspensif et n'a pas été invité à se prononcer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