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5A_444/2021 vom 9. März 2022</w:t>
      </w:r>
    </w:p>
    <w:p>
      <w:r>
        <w:t>Bundesgericht, 2022-03-09, FR</w:t>
      </w:r>
    </w:p>
    <w:p>
      <w:r>
        <w:rPr>
          <w:b/>
        </w:rPr>
        <w:t xml:space="preserve">Quelle: </w:t>
      </w:r>
      <w:r>
        <w:t>https://mcp.opencaselaw.ch/entscheid/bger_5A_444_2021</w:t>
      </w:r>
    </w:p>
    <w:p>
      <w:r>
        <w:t>FR: TF 5A_444/2021 du 9 mars 2022</w:t>
      </w:r>
    </w:p>
    <w:p>
      <w:r>
        <w:t>IT: TF 5A_444/2021 del 9 marzo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al. 4, 74 al. 1 let. b LTF).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Le chef de conclusions tendant au versement, par l'intimée, de contributions d'entretien en faveur de l'aîné des enfants est nouveau, partant irrecevable ( art. 99 al. 2 LTF ), dès lors qu'il ressort de l'arrêt entrepris qu'il n'a pas été formulé en appel. Les griefs y relatifs sont, à ce titre, également irrecevables.</w:t>
      </w:r>
    </w:p>
    <w:p>
      <w:r>
        <w:rPr>
          <w:b/>
        </w:rPr>
        <w:t>E. 2.4</w:t>
      </w:r>
    </w:p>
    <w:p>
      <w:r>
        <w:t>L'intégralité du dossier de la cause, dont le recourant requiert la production, a été transmis au Tribunal fédéral conformément à l' art. 102 al. 2 LTF .</w:t>
      </w:r>
    </w:p>
    <w:p>
      <w:r>
        <w:rPr>
          <w:b/>
        </w:rPr>
        <w:t>E. 2.5</w:t>
      </w:r>
    </w:p>
    <w:p>
      <w:r>
        <w:t>La présente affaire revêt un caractère international (cf. art. 1er al. 1 LDIP ). La compétence des tribunaux suisses ne fait pas de doute ( art. 59 et 63 al. 1 LDIP ). Les parties ne le contestent du reste pas. Le droit suisse est en outre applicable (art. 8 de la Convention de La Haye du 2 octobre 1973 sur la loi applicable aux obligations alimentaires [RS 0.211.213.01], en relation avec les art. 61 al. 1, 63 al. 2, 49 et 83 al. 1 LDIP).</w:t>
      </w:r>
    </w:p>
    <w:p>
      <w:r>
        <w:rPr>
          <w:b/>
        </w:rPr>
        <w:t>E. 3</w:t>
      </w:r>
    </w:p>
    <w:p>
      <w:r>
        <w:t>Le recourant se plaint d'arbitraire dans l'établissement des faits et de violation de l' art. 125 CC concernant le revenu hypothétique imputable à l'intimée.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Le principe de l'indépendance financière prime le droit à l'entretien après le divorce. Il en découle pour l'époux un devoir de prendre ou reprendre une activité lucrative, ou encore d'étendre celle-ci. Un conjoint ne peut ainsi prétendre à une contribution d'entretien que si, en dépit des efforts que l'on peut raisonnablement attendre de lui, il n'est pas ou pas totalement en mesure de pourvoir lui-même à son entretien convenable ( ATF 147 III 249 consid. 3.4.4; 141 III 465 consid. 3.1; 134 III 145 consid. 4; arrêt 5A_1572021 du 25 novembre 2021 consid 6.1). En principe, le devoir de se (ré) intégrer sur le marché du travail ou d'étendre une activité lucrative déjà existante s'impose également dès la séparation lorsque l'on ne peut plus compter sérieusement sur une reprise de la vie commune ( ATF 147 III 249 consid. 3.4.4; 138 III 97 consid. 2.2; 137 III 385 consid. 3.1; 130 III 537 consid.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143 III 233 consid. 3.2; 137 III 102 consid. 4.2.2.2; arrêt 5A_15/2021 du 25 novembre 2021 consid. 6.1 et la jurisprudence citée). Afin de déterminer si un revenu hypothétique peut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du marché du travail, etc. ( ATF 147 III 308 consid. 5.6; 143 III 233 consid. 3.2; arrêt 5A_1026/2021 du 27 janvier 2022 consid. 4.1).</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5A_192/2021 du 18 novembre 2021; 5A_484/2020 du 16 février 2021 consid. 5.1; 5A_534/2019 du 31 janvier 2020 consid. 4.1).</w:t>
      </w:r>
    </w:p>
    <w:p>
      <w:r>
        <w:t>La détermination de la contribution d'entretien relève du pouvoir d'appréciation du juge du fait, qui applique les règles du droit et de l'équité ( art. 4 CC ; ATF 134 III 577 consid. 4; arrêt 5A_524/2020 du 2 août 2021 consid. 3.5).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 ATF 127 III 136 consid. 3a).</w:t>
      </w:r>
    </w:p>
    <w:p>
      <w:r>
        <w:rPr>
          <w:b/>
        </w:rPr>
        <w:t>E. 3.2</w:t>
      </w:r>
    </w:p>
    <w:p>
      <w:r>
        <w:t>En l'espèce, l'autorité cantonale a considéré que le Tribunal avait retenu à raison que la vie professionnelle de l'intimée se composait pour l'essentiel d'activités temporaires ponctuées de périodes de chômage, tant au moment de la décision de mesures protectrices de l'union conjugale rendue en 2015 que durant la procédure de divorce, respectivement d'appel. Contrairement à ce que soutenait l'appelant, il ne pouvait être déduit des trois mois d'activité à 100% de l'intéressée en 2019 qu'elle fût concrètement en mesure de travailler à ce taux. Selon la décision de première instance, elle devait fournir tous les efforts nécessaires pour trouver un emploi fixe à 50% en fonction de ses capacités. Cette considération se justifiait par le fait que son diplôme d'esthéticienne n'était pas reconnu en Suisse, qu'elle n'avait travaillé que de manière temporaire - pour un revenu mensuel net moyen de 678 fr. 65 - et qu'au moment du prononcé du divorce, les enfants étaient âgés de 9 et 5 ans. Compte tenu de ces éléments, il convenait, selon l'autorité cantonale, de confirmer le jugement de première instance, qui accordait à l'épouse une période de transition de deux ans suivant sa notification - soit du 1er février 2019 au 1er février 2021 - pour trouver un emploi fixe à mi-temps.</w:t>
      </w:r>
    </w:p>
    <w:p>
      <w:r>
        <w:t>Examinant ensuite si un revenu hypothétique pouvait être imputé à celle-ci à l'échéance de ce délai, l'autorité précédente a estimé qu'elle pouvait être astreinte à travailler à 50%, puis à 80% dès l'entrée de son fils cadet à l'école secondaire. Quant au montant de ce revenu, elle a jugé qu'il convenait de procéder à une estimation en fonction de ce qu'elle percevait par le passé en travaillant dans la restauration, dans la vente ou dans un hôpital. Se fondant sur le calculateur statistique de salaire fédéral Salarium, elle a retenu que, pour une femme au bénéfice d'un permis C, âgée de 38 ans, sans formation complète et sans expérience, travaillant à un taux de 50%, le revenu mensuel moyen, part au 13e salaire comprise, s'élevait à 2'023 fr. dans la restauration, à 2'345 fr. dans la vente, enfin, à 2'328 fr. en milieu hospitalier pour une activité hors soins et à 2'538 fr. pour une activité dans les soins, soit un montant de 2'308 fr. 50 brut et de l'ordre de 1'900 fr. net. Dès le 1er septembre 2026, correspondant à l'entrée au cycle d'orientation de son fils cadet, il pourrait être exigé d'elle qu'elle réalise un revenu mensuel net de l'ordre de 3'000 fr. pour une activité à 80% (1'900 x 80 / 50).</w:t>
      </w:r>
    </w:p>
    <w:p>
      <w:r>
        <w:rPr>
          <w:b/>
        </w:rPr>
        <w:t>E. 3.3</w:t>
      </w:r>
    </w:p>
    <w:p>
      <w:r>
        <w:t>Vu ce qui précède, la critique du recourant selon laquelle l'autorité cantonale n'aurait pas déterminé quelle activité lucrative l'intimée pourrait raisonnablement exercer et quel revenu elle serait en mesure de réaliser se révèle manifestement infondée, étant précisé qu'il importe peu que cet examen ait été effectué après la confirmation du délai d'adaptation de deux ans.</w:t>
      </w:r>
    </w:p>
    <w:p>
      <w:r>
        <w:t>En réalité, le recourant paraît surtout reprocher à l'autorité précédente d'avoir prévu une période de transition excessivement longue pour permettre à l'intimée de trouver un emploi fixe à 50%. S'il soutient à juste titre qu'un mariage qui a exercé une influence concrète sur la situation de l'un des époux ne conduit pas automatiquement à l'octroi d'une contribution d'entretien après le divorce et qu'il incombe en principe à l'époux concerné de s'insérer ou de se réinsérer sur le marché du travail, différents critères devant être pris en considération pour évaluer s'il en a concrètement la possibilité, il échoue cependant à démontrer que l'autorité cantonale aurait arbitrairement apprécié les preuves sur ce point ou violé les règles applicables à l'imputation d'un revenu hypothétique. Il se borne en effet à affirmer, de manière toute générale, que l'épouse a toujours exercé une activité lucrative, du moins à temps partiel et de manière temporaire, qu'elle ne pouvait ignorer, depuis la séparation ou, à tout le moins, depuis l'entrée à l'école du cadet des enfants, en août 2018, qu'il lui incombait de trouver un emploi fixe à 50% et qu'elle ne pouvait se contenter d'alterner activités temporaires, périodes de chômage et recours à l'aide sociale, les père et mère devant épuiser leur capacité maximale de travail s'agissant de l'entretien d'enfants mineurs. Selon lui, l'intimée avait tout loisir de trouver un emploi fixe ou de compléter sa formation pendant la durée du placement des enfants, soit du 1er octobre 2017 au 31 août 2019. Il relève encore qu'une période de six mois apparaît comme appropriée pour obtenir un diplôme d'esthéticienne reconnu en Suisse, pays dans lequel l'offre proposée permet même d'effectuer ce genre de formation en cours d'emploi.</w:t>
      </w:r>
    </w:p>
    <w:p>
      <w:r>
        <w:t>Ce faisant, le recourant oppose sa propre appréciation des faits à celle retenue par les juges précédents, sans démontrer en quoi celle-ci serait insoutenable. On ne discerne pas non plus en quoi les principes applicables à l'imputation d'un revenu hypothétique auraient été violés, en particulier s'agissant du type d'activité raisonnablement exigible de l'intimée. A cet égard, le recourant n'établit d'ailleurs pas que celle-ci serait en mesure de réaliser, en tant qu'esthéticienne disposant d'un diplôme suisse, un revenu supérieur à celui qui a été retenu. Quant à savoir si le délai d'adaptation laissé à l'intimée est contraire au droit, son argumentation ne convainc pas, étant relevé que la fixation de ce délai dépend des circonstances du cas particulier et que, dans la mesure où la critique formulée par le recourant se résume à de simples affirmations, l'autorité cantonale ne peut se voir reprocher d'avoir abusé de son pouvoir d'appréciation. Vu ce qui précède, les allégations figurant au chiffre IV du recours, relatives au calcul du revenu hypothétique que l'intimée serait en mesure de réaliser au cours de différentes périodes, ne peuvent être prises en considération.</w:t>
      </w:r>
    </w:p>
    <w:p>
      <w:r>
        <w:t>Autant qu'il est suffisamment motivé (art. 42 al. 2, 106 al. 2 LTF), le moyen se révèle par conséquent mal fondé.</w:t>
      </w:r>
    </w:p>
    <w:p>
      <w:r>
        <w:rPr>
          <w:b/>
        </w:rPr>
        <w:t>E. 4</w:t>
      </w:r>
    </w:p>
    <w:p>
      <w:r>
        <w:t>Le recourant reproche en outre à l'autorité cantonale d'avoir violé l' art. 285 CC , les maximes d'office et inquisitoire illimitée ainsi que la jurisprudence récente du Tribunal fédéral " concernant la nouvelle méthode de calcul uniforme des contributions d'entretien du droit de la famille ". Il soutient qu'eu égard à cette jurisprudence, l'intimée devrait assumer l'entretien de l'aîné des enfants, dont il détient la garde exclusive, par le versement d'une contribution en ses mains.</w:t>
      </w:r>
    </w:p>
    <w:p>
      <w:r>
        <w:t>Comme les conclusions prises à ce sujet dans le présent recours sont nouvelles et, par conséquent, irrecevables ( art. 99 al. 2 LTF ; cf. supra consid. 2.3), il n'y a pas lieu d'entrer en matière sur ce moyen, qui n'est de surcroît guère motivé.</w:t>
      </w:r>
    </w:p>
    <w:p>
      <w:r>
        <w:rPr>
          <w:b/>
        </w:rPr>
        <w:t>E. 5</w:t>
      </w:r>
    </w:p>
    <w:p>
      <w:r>
        <w:t>En définitive, le recours doit être rejeté, dans la mesure où il est recevable. Les conclusions du recourant étaient d'emblée vouées à l'échec, ce qui implique le rejet de sa demande d'assistance judiciaire ( art. 64 al. 1 LTF ), ainsi que sa condamnation aux frais de la procédure fédérale, ceux-ci étant toutefois fixés en tenant compte de sa situation financière (art. 65 al. 2 et 66 al. 1 LTF).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