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5A_441/2018 vom 31. Mai 2018</w:t>
      </w:r>
    </w:p>
    <w:p>
      <w:r>
        <w:t>Bundesgericht, 2018-05-31, DE</w:t>
      </w:r>
    </w:p>
    <w:p>
      <w:r>
        <w:rPr>
          <w:b/>
        </w:rPr>
        <w:t xml:space="preserve">Quelle: </w:t>
      </w:r>
      <w:r>
        <w:t>https://mcp.opencaselaw.ch/entscheid/bger_5A_441_2018</w:t>
      </w:r>
    </w:p>
    <w:p>
      <w:r>
        <w:t>FR: TF 5A_441/2018 du 31 mai 2018</w:t>
      </w:r>
    </w:p>
    <w:p>
      <w:r>
        <w:t>IT: TF 5A_441/2018 del 31 maggio 2018</w:t>
      </w:r>
    </w:p>
    <w:p>
      <w:pPr>
        <w:pStyle w:val="Heading2"/>
      </w:pPr>
      <w:r>
        <w:t>Erwägungen</w:t>
      </w:r>
    </w:p>
    <w:p>
      <w:r>
        <w:rPr>
          <w:b/>
        </w:rPr>
        <w:t>E. 1</w:t>
      </w:r>
    </w:p>
    <w:p>
      <w:r>
        <w:t>Angefochten ist die obergerichtliche Instruktionsverfügung betreffend aufschiebende Wirkung und superprovisorische bzw. vorsorgliche Anweisung zur unverzüglichen Entlassung des Kindes. Beschwerdegegenstand bilden somit insgesamt vorsorgliche Massnahmen im Sinn von Art. 98 BGG (betreffend Entscheid über die aufschiebende Wirkung vgl. BGE 134 II 192 E. 1.5 S. 197), bei welchen nur verfassungsmässige Rechte als verletzt gerügt werden können. Überdies geht es um einen Zwischenentscheid (vgl. BGE 134 II 192 E. 1.5 S. 197), der nur unter den besonderen Voraussetzungen von Art. 93 Abs. 1 BGG mit Beschwerde beim Bundesgericht angefochten werden kann, wobei diese in der Beschwerde darzutun sind ( BGE 137 III 324 E. 1.1 S. 329; 141 IV 289 E. 1.3 S. 292).</w:t>
      </w:r>
    </w:p>
    <w:p>
      <w:r>
        <w:rPr>
          <w:b/>
        </w:rPr>
        <w:t>E. 2</w:t>
      </w:r>
    </w:p>
    <w:p>
      <w:r>
        <w:t>Die (anwaltlich vertretenen) Beschwerdeführer äussern sich mit keinem Wort zu den Voraussetzungen für die nur ausnahmsweise gegebene Anfechtungsmöglichkeit bei Zwischenentscheiden. Bereits daran scheitert die Beschwerde.</w:t>
      </w:r>
    </w:p>
    <w:p>
      <w:r>
        <w:t>Ohnehin beschränkt sich die Beschwerdebegründung zum grössten Teil auf - überdies in erster Linie die Sache selbst statt den Vollzug betreffende - appellatorische Ausführungen, wie sie im Bereich der Verfassungsrügen unzulässig sind ( BGE 140 III 264 E. 2.3 S. 266; 142 III 364 E. 2.4 S. 368). Als Verfassungsrüge ist einzig die angebliche Verletzung der Begründungspflicht als Teilgehalt des rechtlichen Gehörs ( Art. 29 Abs. 2 BV ) halbwegs substanziiert. Indes erfüllt die angefochtene Verfügung die hieraus fliessenden Anforderungen (kurze Nennung der entscheidwesentlichen Gesichtspunkte, von denen sich das Gericht hat leiten lassen, vgl. BGE 139 IV 179 E. 2.2 S. 183; 141 III 28 E. 3.2.4 S. 41; 141 IV 249 E. 1.3.1 S. 253) in jeder Hinsicht. Soweit noch andere verfassungsmässige Rechte erwähnt werden, bleibt es bei der pauschalen und damit den Substanziierungsanforderungen bei Verfassungsrügen ( Art. 106 Abs. 2 BGG ) nicht ansatzweise genügenden Behauptung, der Vollzug sei übertrieben und unverhältnismässig.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Entscheid in der Sache werden die superprovisorischen und vorsorglichen Begehren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