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5A_441/2009 vom 7. Dezember 2009</w:t>
      </w:r>
    </w:p>
    <w:p>
      <w:r>
        <w:t>Bundesgericht, 2009-12-07, FR</w:t>
      </w:r>
    </w:p>
    <w:p>
      <w:r>
        <w:rPr>
          <w:b/>
        </w:rPr>
        <w:t xml:space="preserve">Quelle: </w:t>
      </w:r>
      <w:r>
        <w:t>https://mcp.opencaselaw.ch/entscheid/bger_5A_441_2009</w:t>
      </w:r>
    </w:p>
    <w:p>
      <w:r>
        <w:t>FR: TF 5A_441/2009 du 7 décembre 2009</w:t>
      </w:r>
    </w:p>
    <w:p>
      <w:r>
        <w:t>IT: TF 5A_441/2009 del 7 dicembre 2009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présent recours a été formé en temps utile ( art. 100 al. 1 LTF ) à l'encontre d'une décision qui confirme, en dernière instance cantonale et sur recours ( art. 75 LTF ), le refus de la mainlevée provisoire ( art. 72 al. 2 let. a et art. 90 LTF ; ATF 134 III 115 consid. 1.1 p. 117). La valeur litigieuse de 30'000 fr. est atteinte ( art. 74 al. 1 let. b LTF ; ATF 134 III 267 consid. 1.1 p. 269). Enfin, la poursuivante, qui a succombé devant l'autorité précédente, a qualité pour recourir ( art. 76 al. 1 LTF ).</w:t>
      </w:r>
    </w:p>
    <w:p>
      <w:r>
        <w:rPr>
          <w:b/>
        </w:rPr>
        <w:t>E. 1.2</w:t>
      </w:r>
    </w:p>
    <w:p>
      <w:r>
        <w:t>Les compléments que la recourante apporte à l'état de fait de la décision attaquée sont irrecevables ( art. 105 al. 1 LTF ), à moins qu'elle ne démontre, conformément aux exigences légales ( art. 106 al. 2 LTF ), que les faits sur lesquels se sont fondés les magistrats cantonaux sont arbitrairement lacunaires.</w:t>
      </w:r>
    </w:p>
    <w:p>
      <w:r>
        <w:rPr>
          <w:b/>
        </w:rPr>
        <w:t>E. 2</w:t>
      </w:r>
    </w:p>
    <w:p>
      <w:r>
        <w:t>En l'espèce, la cour cantonale a retenu que la poursuivie ne contestait pas que la poursuivante avait travaillé à son service pendant la période en question (i.e. du 6 janvier 1997 au 31 octobre 2006), en sorte que le contrat valait, en principe, titre à la mainlevée provisoire.</w:t>
      </w:r>
    </w:p>
    <w:p>
      <w:r>
        <w:t>L'autorité précédente a ensuite analysé la «déclaration de garantie» en vertu de laquelle la poursuivie s'est engagée à «traiter son employé[e] aux conditions de rémunération et de travail en usage dans la localité et la profession concernées». A cet égard, il n'est pas certain que la Convention collective de l'hôtellerie et de la restauration soit applicable en l'occurrence. Quant à la «déclaration de garantie», elle ne se passe pas d'interprétation; elle ne permet en tout cas pas d'admettre que le contrat-type genevois pour les travailleurs de l'économie domestique serait applicable dans la région de Nyon. Quoi qu'il en soit, ces points échappent à la cognition du juge de mainlevée, lequel peut limiter son instruction à l'examen des pièces produites; partant, il ne lui appartient pas de déterminer quel type de contrat de travail s'applique. Le contrat prévoit néanmoins un salaire mensuel de 1'527 fr., d'où une rétribution totale de 180'186 fr.; en tenant compte des montants que la poursuivie a versés (93'761 fr. 05), il resterait un solde de 86'424 fr. 95. Toutefois, il est difficile de préciser pour quel montant la poursuivante bénéficie d'un titre à la mainlevée: tout d'abord, il y aurait lieu de déduire «des montants reçus nets d'un montant dû brut»; en outre - et surtout -, le montant des «cotisations de l'assurance-maladie» que la poursuivie a payées - et dont la poursuivante admet qu'elles doivent être prises en compte - est inconnu. Devant «l'impossibilité de déterminer le montant de la créance susceptible de justifier la mainlevée», c'est à juste titre que le premier juge a refusé la mainlevée.</w:t>
      </w:r>
    </w:p>
    <w:p>
      <w:r>
        <w:rPr>
          <w:b/>
        </w:rPr>
        <w:t>E. 2.1</w:t>
      </w:r>
    </w:p>
    <w:p>
      <w:r>
        <w:t>Selon la jurisprudence, constitue une reconnaissance de dette, au sens de l' art. 82 al. 1 LP , l'acte authentique ou sous seing privé signé de la main du poursuivi - ou de son représentant -, d'où découle sa volonté de payer au poursuivant, sans réserve ni condition, une somme d'argent déterminée, ou aisément déterminable, et échue ( ATF 130 III 87 consid. 3.1 p. 88); elle peut résulter du rapprochement de plusieurs pièces, autant que les éléments nécessaires en résultent ( ATF 132 III 480 consid. 4.1 p. 481). Le contrat de travail ( art. 319 ss CO ) vaut, en principe, reconnaissance de dette dans la poursuite en recouvrement du salaire s'il est constant que le travail a été fourni (arrêt 5A_367/2007 du 15 octobre 2007 consid. 3.1 et les références; PANCHAUD/CAPREZ, La mainlevée d'opposition, 2e éd., 1980, § 86; MEYER, Die Rechtsöffnung auf Grund synallagmatischer Schuldverträge, 1979, p. 167 ss).</w:t>
      </w:r>
    </w:p>
    <w:p>
      <w:r>
        <w:rPr>
          <w:b/>
        </w:rPr>
        <w:t>E. 2.2</w:t>
      </w:r>
    </w:p>
    <w:p>
      <w:r>
        <w:t>Le motif principal de la décision entreprise repose sur l'ignorance du montant des cotisations d'assurance-maladie. Or, ce motif apparaît manifestement erroné. Comme le relève avec raison la recourante, le montant acquitté de ce chef ressort des pièces produites en première instance par l'intimée; celle-ci a explicitement admis qu'une somme de 310 fr. par mois était versée à ce titre, ledit «montant ayant en réalité augmenté de CHF 200.- à CHF 310.- au fil du temps» (p. 4 ch. 31, avec renvoi à diverses pièces). La recourante n'a, d'ailleurs, pas manqué de le signaler dans son recours cantonal (p. 6 ch. 9). Vu ce qui précède, il appartiendra à l'autorité cantonale de compléter ses constatations sur ce point et de statuer à nouveau.</w:t>
      </w:r>
    </w:p>
    <w:p>
      <w:r>
        <w:rPr>
          <w:b/>
        </w:rPr>
        <w:t>E. 2.3</w:t>
      </w:r>
    </w:p>
    <w:p>
      <w:r>
        <w:t>La question de savoir si, à l'instar des juridictions de prud'hommes (arrêt 4C.319/1995 du 8 avril 1997 consid. 2b/aa; BERSIER, Salaire brut ou salaire net?, in: RSJ 78/1982 p. 299 ss), le juge de mainlevée peut lever l'opposition pour un montant brut, sous déduction des cotisations sociales, n'est pas résolue clairement (par exemple: arrêt 5P.364/2002 du 16 décembre 2002 consid. 2.1.2).</w:t>
      </w:r>
    </w:p>
    <w:p>
      <w:r>
        <w:t>Il ressort (implicitement) d'un arrêt tessinois que le juge de mainlevée doit prononcer la mainlevée (ici provisoire) à concurrence d'un montant net, à savoir une fois opérées les déductions légales (Rep. 1987 p. 242, spéc. 243; dans ce sens: STAEHELIN, in: Basler Kommentar, vol. I, 1998, n° 126 ad art. 82 LP ; VOCK, in: Kurzkommentar, SchKG, 2009, n° 26 ad art. 82 LP ). Selon un arrêt neuchâtelois, lorsqu'un jugement condamne au paiement d'un montant brut, il incombe à l'employeur poursuivi de prouver qu'il s'est effectivement acquitté des cotisations sociales, faute de quoi la mainlevée (définitive) doit être octroyée pour ce montant brut (RJN 1995 p. 71).</w:t>
      </w:r>
    </w:p>
    <w:p>
      <w:r>
        <w:t>Vu la solution qu'elle a adoptée, la cour cantonale n'a pas examiné ce point, qu'il lui appartiendra de trancher dans son nouvel arrêt.</w:t>
      </w:r>
    </w:p>
    <w:p>
      <w:r>
        <w:rPr>
          <w:b/>
        </w:rPr>
        <w:t>E. 3</w:t>
      </w:r>
    </w:p>
    <w:p>
      <w:r>
        <w:t>En conclusion, le présent recours doit être admis dans la mesure de sa recevabilité, l'arrêt attaqué annulé et la cause renvoyée à la juridiction précédente pour qu'elle statue à nouveau ( art. 107 al. 2 LTF ). Les frais et dépens incombent à l'intimée (art. 66 al. 1 et art. 68 al. 1 et 2 LTF ), en sorte que la requête d'assistance judiciaire de la recourante devient sans objet ( ATF 133 I 234 consid. 3 in fine p. 248).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