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5A_440/2023 vom 19. Juli 2023</w:t>
      </w:r>
    </w:p>
    <w:p>
      <w:r>
        <w:t>Bundesgericht, 2023-07-19, FR</w:t>
      </w:r>
    </w:p>
    <w:p>
      <w:r>
        <w:rPr>
          <w:b/>
        </w:rPr>
        <w:t xml:space="preserve">Quelle: </w:t>
      </w:r>
      <w:r>
        <w:t>https://mcp.opencaselaw.ch/entscheid/bger_5A_440_2023</w:t>
      </w:r>
    </w:p>
    <w:p>
      <w:r>
        <w:t>FR: TF 5A_440/2023 du 19 juillet 2023</w:t>
      </w:r>
    </w:p>
    <w:p>
      <w:r>
        <w:t>IT: TF 5A_440/2023 del 19 luglio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13 janvier 2023, le Juge de paix du district de Lausanne a relevé Me B.________ de sa mission d'avocat d'office de A.________ dans la cause visant à l'institution d'une curatelle en sa faveur (I), lui a alloué une indemnité de 4'909 fr. pour la période du 9 novembre 2021 au 7 novembre 2022 (II) et dit que la bénéficiaire de l'assistance judiciaire était tenue au remboursement des frais judiciaires et/ou de l'indemnité du conseil d'office dès qu'elle serait en mesure de le faire ( art. 123 CPC ) (III).</w:t>
      </w:r>
    </w:p>
    <w:p>
      <w:r>
        <w:t>Par acte du 7 février 2023, la personne concernée a recouru contre cette décision, concluant à ce que l'indemnité de son conseil d'office soit définitivement laissée à la charge de l'État.</w:t>
      </w:r>
    </w:p>
    <w:p>
      <w:r>
        <w:rPr>
          <w:b/>
        </w:rPr>
        <w:t>E. 1.2</w:t>
      </w:r>
    </w:p>
    <w:p>
      <w:r>
        <w:t>Statuant le 24 avril 2023, la Chambre des curatelles du Tribunal cantonal vaudois a déclaré le recours irrecevable.</w:t>
      </w:r>
    </w:p>
    <w:p>
      <w:r>
        <w:rPr>
          <w:b/>
        </w:rPr>
        <w:t>E. 2</w:t>
      </w:r>
    </w:p>
    <w:p>
      <w:r>
        <w:t>Par écriture expédiée le 8 juin 2023, la personne concernée exerce un recours en matière civile au Tribunal fédéral contre l'arrêt précité; elle reprend les conclusions formulées en instance cantonale.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En l'espèce, seule l'indemnité de l'avocat d'office était contestée dans la procédure devant l'autorité précédente; partant, il s'agit d'une affaire pécuniaire, dont la valeur litigieuse correspond au montant contesté de l'indemnité, à savoir 4'909 fr. (arrêt 5D_56/2022 du 23 septembre 2022 consid. 1.2 et les citations). Vu l'insuffisance de la valeur litigieuse et l'absence de question juridique de principe (art. 74 al. 1 let. b et al. 2 let. a LTF), l'écriture de la recourante est traitée en tant que recours constitutionnel subsidiaire au sens des art. 113 ss LTF ; il est superflu de vérifier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l'autorité cantonale a constaté que l'office postal avait tenté en vain de distribuer le 16 janvier 2023 le pli contenant la décision entreprise et déposé un avis de retrait; le même jour, la destinataire a "</w:t>
      </w:r>
    </w:p>
    <w:p>
      <w:r>
        <w:t>déclenché un ordre : Délai prorogé ", l'acte en cause ayant finalement été distribué au guichet le 6 février 2023. Cet accord avec la Poste ne saurait cependant prolonger le délai légal de recours; il s'ensuit que la décision attaquée est réputée avoir été notifiée à l'expiration du délai de garde de sept jours, c'est-à-dire le 23 janvier 2023; le délai de recours a commencé à courir le lendemain et est arrivé à échéance le 2 février suivant. Remis à la poste le 7 février 2023, le recours s'avère dès lors tardif, partant irrecevable.</w:t>
      </w:r>
    </w:p>
    <w:p>
      <w:r>
        <w:rPr>
          <w:b/>
        </w:rPr>
        <w:t>E. 4.2</w:t>
      </w:r>
    </w:p>
    <w:p>
      <w:r>
        <w:t>La recourante s'en prend à la mesure de curatelle "</w:t>
      </w:r>
    </w:p>
    <w:p>
      <w:r>
        <w:t>forcée " qui est à l'origine de la décision mettant à sa charge l'indemnité de son conseil d'office. Elle discute ainsi le fond du litige, sans exposer en quoi le motif d'irrecevabilité retenu par les magistrats précédents serait arbitraire ou contraire à d'autres droits constitutionnels ( art. 116 LTF ). Faute d'être motivé conformément aux exigences de l' art. 106 al. 2 LTF (applicable par renvoi de l' art. 117 LTF ), le recours apparaît dès lors entièrement irrecevable ( ATF 136 I 332 consid. 2.1 et les citations).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et art. 117 LTF ). La recourante n'a pas expressément demandé le bénéfice de l'assistance judiciaire pour la procédure fédérale; de toute façon, une telle requête eût été rejetée vu l'irrecevabilité manifeste du recours. Cela étant, les frais judiciaires lui incombent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