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43/2012 vom 21. Februar 2012</w:t>
      </w:r>
    </w:p>
    <w:p>
      <w:r>
        <w:t>Bundesgericht, 2012-02-21, DE</w:t>
      </w:r>
    </w:p>
    <w:p>
      <w:r>
        <w:rPr>
          <w:b/>
        </w:rPr>
        <w:t xml:space="preserve">Quelle: </w:t>
      </w:r>
      <w:r>
        <w:t>https://mcp.opencaselaw.ch/entscheid/bger_5A_43_2012</w:t>
      </w:r>
    </w:p>
    <w:p>
      <w:r>
        <w:t>FR: TF 5A 43/2012 du 21 février 2012</w:t>
      </w:r>
    </w:p>
    <w:p>
      <w:r>
        <w:t>IT: TF 5A 43/2012 del 21 febbraio 2012</w:t>
      </w:r>
    </w:p>
    <w:p>
      <w:pPr>
        <w:pStyle w:val="Heading2"/>
      </w:pPr>
      <w:r>
        <w:t>Regeste</w:t>
      </w:r>
    </w:p>
    <w:p>
      <w:r>
        <w:t>Kosten (Ergänzung eines ausländischen Scheidungsurteils) | Familienrecht</w:t>
      </w:r>
    </w:p>
    <w:p>
      <w:pPr>
        <w:pStyle w:val="Heading2"/>
      </w:pPr>
      <w:r>
        <w:t>Erwägungen</w:t>
      </w:r>
    </w:p>
    <w:p>
      <w:r>
        <w:rPr>
          <w:b/>
        </w:rPr>
        <w:t>E. 1.1</w:t>
      </w:r>
    </w:p>
    <w:p>
      <w:r>
        <w:t>Der Rückweisungsentscheid gilt als Zwischenentscheid im Sinn von Art. 93 Abs. 1 BGG ; ein Zwischenentscheid liegt auch vor, wenn die letzte kantonale Instanz im Rückweisungsentscheid über die Gerichts- und Parteikosten entscheidet ( BGE 135 III 329 E. 1.2 mit Hinweisen). Dagegen ist die Beschwerde nur zulässig, sofern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1.2</w:t>
      </w:r>
    </w:p>
    <w:p>
      <w:r>
        <w:t>Der Entscheid über die Gerichtskosten und die Parteientschädigung ist nach der bundesgerichtlichen Rechtsprechung nicht geeignet, einen nicht wiedergutzumachenden Nachteil im Sinn von Art. 93 Abs. 1 lit. a BGG zu bewirken. Er kann nur zusammen mit dem Hauptpunkt des Zwischenentscheides (Rückweisung) angefochten werden, sofern dagegen gestützt auf Art. 93 Abs. 1 BGG die Beschwerde in Zivilsachen offensteht ( BGE 135 III 329 E. 1.2.2 S. 333 f.).</w:t>
      </w:r>
    </w:p>
    <w:p>
      <w:r>
        <w:rPr>
          <w:b/>
        </w:rPr>
        <w:t>E. 1.3</w:t>
      </w:r>
    </w:p>
    <w:p>
      <w:r>
        <w:t>Mit Bezug auf Art. 93 Abs. 1 lit. b BGG legt die Beschwerdeführerin entgegen den Begründungsanforderungen ( BGE 134 III 426 E. 1.2 am Ende S. 429) nicht dar, inwiefern die Herbeiführung eines Endentscheides einen bedeutenden Aufwand an Zeit oder Kosten für ein weitläufiges Beweisverfahren ersparen würde. Im Übrigen ist diese Voraussetzung hier nicht gegeben, zumal mit dem Entscheid über die Kosten noch kein Endentscheid erwirkt wird.</w:t>
      </w:r>
    </w:p>
    <w:p>
      <w:r>
        <w:rPr>
          <w:b/>
        </w:rPr>
        <w:t>E. 1.4</w:t>
      </w:r>
    </w:p>
    <w:p>
      <w:r>
        <w:t>Der Beschwerdeführerin ist aber unbenommen, den Entscheid über die Kosten und Entschädigung des Zwischenentscheides zusammen mit dem Endentscheid in der Sache anzufechten ( BGE 135 III 329 E. 1.2.2 S. 334).</w:t>
      </w:r>
    </w:p>
    <w:p>
      <w:r>
        <w:rPr>
          <w:b/>
        </w:rPr>
        <w:t>E. 2</w:t>
      </w:r>
    </w:p>
    <w:p>
      <w:r>
        <w:t>Damit ist auf die Beschwerde nicht einzutreten. Bei diesem Ausgang des Verfahrens wird die Beschwerdeführerin kostenpflichtig ( Art. 66 Abs. 1 BGG ). Sie hat jedoch die Gegenpartei für das bundesgerichtliche Verfahren nicht zu entschädigen, da keine Vernehmlassung eingeholt worden ist.</w:t>
      </w:r>
    </w:p>
    <w:p>
      <w:r>
        <w:rPr>
          <w:b/>
        </w:rPr>
        <w:t>E. 3</w:t>
      </w:r>
    </w:p>
    <w:p>
      <w:r>
        <w:t>Das Gesuch der Beschwerdeführerin um unentgeltliche Rechtspflege für das bundesgerichtliche Verfahren ist abzuweisen, da sich die Beschwerde als von vornherein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