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5A_43/2011 vom 18. Februar 2011</w:t>
      </w:r>
    </w:p>
    <w:p>
      <w:r>
        <w:t>Bundesgericht, 2011-02-18, DE</w:t>
      </w:r>
    </w:p>
    <w:p>
      <w:r>
        <w:rPr>
          <w:b/>
        </w:rPr>
        <w:t xml:space="preserve">Quelle: </w:t>
      </w:r>
      <w:r>
        <w:t>https://mcp.opencaselaw.ch/entscheid/bger_5A_43_2011</w:t>
      </w:r>
    </w:p>
    <w:p>
      <w:r>
        <w:t>FR: TF 5A_43/2011 du 18 février 2011</w:t>
      </w:r>
    </w:p>
    <w:p>
      <w:r>
        <w:t>IT: TF 5A_43/2011 del 18 febbraio 2011</w:t>
      </w:r>
    </w:p>
    <w:p>
      <w:pPr>
        <w:pStyle w:val="Heading2"/>
      </w:pPr>
      <w:r>
        <w:t>Erwägungen</w:t>
      </w:r>
    </w:p>
    <w:p>
      <w:r>
        <w:rPr>
          <w:b/>
        </w:rPr>
        <w:t>E. 1.1</w:t>
      </w:r>
    </w:p>
    <w:p>
      <w:r>
        <w:t>Angefochten ist ein kantonal letztinstanzliches Urteil über eine Klage auf Abänderung eines Ehescheidungsurteils, deren Streitwert Fr. 30'000.-- übersteigt. Die Voraussetzungen nach Art. 72 Abs. 1, Art. 74 Abs. 1 lit. b und Art. 75 Abs. 1 BGG sind demnach gegeben. Indes hat das Obergericht keinen Endentscheid gefällt, sondern die Sache an das Bezirksgericht Zürich zur Durchführung eines Beweisverfahrens und zu neuem Entscheid zurückgewiesen. Rückweisungsentscheide gelten als Zwischenentscheide, es sei denn, der unteren Instanz, an welche die Sache zurückgewiesen wird, verbleibe kein Entscheidungsspielraum mehr und die Rückweisung diene nur noch der Umsetzung des oberinstanzlich Angeordneten ( BGE 134 II 124 E. 1.3 S. 127; Urteil 9C_684/2007 vom 27. Dezember 2007 E. 1.1 mit Hinweisen); Letzteres ist nicht der Fall.</w:t>
      </w:r>
    </w:p>
    <w:p>
      <w:r>
        <w:rPr>
          <w:b/>
        </w:rPr>
        <w:t>E. 1.2</w:t>
      </w:r>
    </w:p>
    <w:p>
      <w:r>
        <w:t>Gegen selbständig eröffnete Vor- und Zwischenentscheide, welche nicht die Zuständigkeit oder den Ausstand betreffen,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Dabei obliegt es dem Beschwerdeführer darzutun, dass die Eintretensvoraussetzungen von Art. 93 BGG erfüllt sind, soweit deren Vorliegen nicht offensichtlich in die Augen springt ( BGE 134 III 426 E. 1.2 in fine S. 429; 133 III 629 E. 2.3.1 S. 632, E. 2.4.2 S. 633).</w:t>
      </w:r>
    </w:p>
    <w:p>
      <w:r>
        <w:t>Die Beschwerdeführerin macht in erster Linie geltend, die seinerzeit vom Scheidungsrichter festgelegte Rente sei von vornherein unabänderlich, weil sie ihrer Altersvorsorge diene. Im Falle der Gutheissung der Beschwerde aus diesem Grunde würde sofort ein Endentscheid herbeigeführt, so dass diesbezüglich die erste Voraussetzung für die Zulässigkeit der Beschwerde gegen den angefochtenen Zwischenentscheid erfüllt sei. Letzteres trifft indes nicht auf ihren Einwand zu, wonach die Voraussetzungen für die Abänderung der Rente nicht gegeben seien, weil die geltend gemachten Veränderungen voraussehbar bzw. vom Beschwerdegegner selbst verschuldet seien, denn eine Abänderung ist auch dann zulässig, wenn sich die Verhältnisse seitens des Unterhaltsgläubigers verbessert haben, was auch Gegenstand des vom Obergericht angeordneten Beweisverfahrens ist.</w:t>
      </w:r>
    </w:p>
    <w:p>
      <w:r>
        <w:t>Ohne einen Zusammenhang mit der Eintretensfrage herzustellen, führt die Beschwerdeführerin am Schluss ihrer Beschwerde (S. 10) aus, mit der Gutheissung der Beschwerde und Abweisung der Abänderungsklage erübrige sich "ein absehbar aufwändiges und mühsames Beweisverfahren". Sie legt aber nicht dar und es liegt nicht auf der Hand, weshalb das vom Obergericht thematisch klar umschriebene Beweisverfahren in zeitlicher oder kostenmässiger Hinsicht aufwändig sein soll und die aufgeworfene Rechtsfrage nach der Unabänderlichkeit der Rente bereits jetzt beantwortet werden könnte. Praxisgemäss droht bei einer Rückweisung der Sache zu neuer Abklärung und Entscheidung in der Regel kein nicht wieder gutzumachender Nachteil i.S.v. Art. 93 Abs. 1 lit. a BGG ( BGE 133 V 477 E. 5.2.2 S. 483, 647 E. 2.1). Daher ist auf die Beschwerde nicht einzutreten.</w:t>
      </w:r>
    </w:p>
    <w:p>
      <w:r>
        <w:rPr>
          <w:b/>
        </w:rPr>
        <w:t>E. 2</w:t>
      </w:r>
    </w:p>
    <w:p>
      <w:r>
        <w:t>Bei diesem Verfahrensausgang sind die Gerichtskosten der Beschwerdeführerin aufzuerlegen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