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5A_439/2024 vom 8. Juli 2024</w:t>
      </w:r>
    </w:p>
    <w:p>
      <w:r>
        <w:t>Bundesgericht, 2024-07-08, FR</w:t>
      </w:r>
    </w:p>
    <w:p>
      <w:r>
        <w:rPr>
          <w:b/>
        </w:rPr>
        <w:t xml:space="preserve">Quelle: </w:t>
      </w:r>
      <w:r>
        <w:t>https://mcp.opencaselaw.ch/entscheid/bger_5A_439_2024</w:t>
      </w:r>
    </w:p>
    <w:p>
      <w:r>
        <w:t>FR: TF 5A_439/2024 du 8 juillet 2024</w:t>
      </w:r>
    </w:p>
    <w:p>
      <w:r>
        <w:t>IT: TF 5A_439/2024 del 8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de mesures provisionnelles du 28 mars 2024, motivée le 11 avril 2024 et notifiée à A.________ le 15 avril 2024, le Juge de paix du district de Lausanne a notamment ouvert une enquête en placement à des fins d'assistance en faveur de B.________, née le 3 septembre 1928, confirmé l'institution d'une curatelle provisoire de représentation et de gestion au sens des art. 394 al. 1, 395 al. 1 et 445 al. 1 CC en faveur de celle-ci, maintenu en qualité de curatrice provisoire C.________, assistante sociale auprès du Service des curatelles et tutelles professionnelles du canton de Vaud, et défini les tâches de la curatrice provisoire. Statuant le 3 juin 2024, la Chambre des curatelles du Tribunal cantonal du canton de Vaud a déclaré irrecevable le recours formé par A.________ contre cette décision.</w:t>
      </w:r>
    </w:p>
    <w:p>
      <w:r>
        <w:rPr>
          <w:b/>
        </w:rPr>
        <w:t>E. 2</w:t>
      </w:r>
    </w:p>
    <w:p>
      <w:r>
        <w:t>Par écriture du 2 juillet 2024, A.________ exerce un recours au Tribunal fédéral. Des observations n'ont pas été requises.</w:t>
      </w:r>
    </w:p>
    <w:p>
      <w:r>
        <w:rPr>
          <w:b/>
        </w:rPr>
        <w:t>E. 3</w:t>
      </w:r>
    </w:p>
    <w:p>
      <w:r>
        <w:t>L'écriture du recourant est traitée comme recours en matière civile au sens de l'art. 72 al. 2 let. b ch. 6 LTF. Il n'y a pas lieu de discuter les autres conditions de recevabilité, ce procédé étant voué à l'échec.</w:t>
      </w:r>
    </w:p>
    <w:p>
      <w:r>
        <w:rPr>
          <w:b/>
        </w:rPr>
        <w:t>E. 4</w:t>
      </w:r>
    </w:p>
    <w:p>
      <w:r>
        <w:t>En l'espèce, l'autorité cantonale a retenu que l'ordonnance de mesures provisionnelles querellée avait été adressée pour notification à A.________ par pli recommandé du 11 avril 2024 et lui avait été distribuée le 15 avril 2024. Le délai de recours de dix jours pour s'en prendre à cette ordonnance était arrivé à échéance le 25 avril 2024 au plus tard. Daté du 1er mai 2024 et remis à la Poste le lendemain, le recours était tardif, ce qui entraînait son irrecevabilité.</w:t>
      </w:r>
    </w:p>
    <w:p>
      <w:r>
        <w:rPr>
          <w:b/>
        </w:rPr>
        <w:t>E. 5</w:t>
      </w:r>
    </w:p>
    <w:p>
      <w:r>
        <w:t>La décision querellée porte sur des mesures provisionnelles au sens de l' art. 98 LTF , de sorte que seule peut être invoquée la violation de droits constitutionnels. Or, le recourant ne soulève aucun grief cette nature ( art. 106 al. 2 LTF ) à l'encontre du motif d'irrecevabilité retenu par les juges précédents, se limitant à cet égard affirmer avoir " compris l'erreur de la Chambre des Curatelles du Tribunal cantonal ayant trait à l'irrecevabilité de [son] recours remis à la poste le 2 mai 2024" (sic). Pour le surplus, le recourant s'en prend largement à la mesure de curatelle provisoire ordonnée par le premier juge - au demeurant sans se prévaloir de la violation de ses droits constitutionnels -, ce qui est inadmissible dans le cadre d'un recours contre une décision d'irrecevabilité. Il s'ensuit que le recours apparaît d'emblée irrecevable ( ATF 142 III 364 consid. 2.4 et les arrêts cités).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let. b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