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5A_439/2010 vom 11. November 2010</w:t>
      </w:r>
    </w:p>
    <w:p>
      <w:r>
        <w:t>Bundesgericht, 2010-11-11, FR</w:t>
      </w:r>
    </w:p>
    <w:p>
      <w:r>
        <w:rPr>
          <w:b/>
        </w:rPr>
        <w:t xml:space="preserve">Quelle: </w:t>
      </w:r>
      <w:r>
        <w:t>https://mcp.opencaselaw.ch/entscheid/bger_5A_439_2010</w:t>
      </w:r>
    </w:p>
    <w:p>
      <w:r>
        <w:t>FR: TF 5A_439/2010 du 11 novembre 2010</w:t>
      </w:r>
    </w:p>
    <w:p>
      <w:r>
        <w:t>IT: TF 5A_439/2010 del 11 novembre 2010</w:t>
      </w:r>
    </w:p>
    <w:p>
      <w:pPr>
        <w:pStyle w:val="Heading2"/>
      </w:pPr>
      <w:r>
        <w:t>Erwägungen</w:t>
      </w:r>
    </w:p>
    <w:p>
      <w:r>
        <w:rPr>
          <w:b/>
        </w:rPr>
        <w:t>E. 1.1</w:t>
      </w:r>
    </w:p>
    <w:p>
      <w:r>
        <w:t>La décision par laquelle le juge prononce la faillite est une décision finale ( art. 90 LTF ) qui peut faire l'objet d'un recours en matière civile ( art. 72 al. 2 let. a LTF ; ATF 133 III 687 consid. 1.2), quelle que soit la valeur litigieuse ( art. 74 al. 2 let . d LTF). Interjeté en temps utile ( art. 100 al. 1 LTF ), contre une décision rendue en dernière instance cantonale ( art. 75 al. 1 LTF ), par une partie ayant été déboutée de ses conclusions prises devant la juridiction précédente ( art. 76 al. 1 LTF ), le présent recours est en principe recevable.</w:t>
      </w:r>
    </w:p>
    <w:p>
      <w:r>
        <w:rPr>
          <w:b/>
        </w:rPr>
        <w:t>E. 1.2</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Selon la recourante, le mémoire de réponse contient des propos inconvenants à son égard; elle demande le renvoi à son auteur pour qu'il soit corrigé. A supposer que ce reproche soit fondé, il est renoncé à faire usage de la possibilité offerte à l' art. 42 al. 6 LTF , vu l'issue du recours.</w:t>
      </w:r>
    </w:p>
    <w:p>
      <w:r>
        <w:rPr>
          <w:b/>
        </w:rPr>
        <w:t>E. 3</w:t>
      </w:r>
    </w:p>
    <w:p>
      <w:r>
        <w:t>La recourante reproche à la Cour de justice d'avoir ignoré une déclaration établie le 11 janvier 2010 par l'organe de révision, qui atteste que la société est à même de faire face à ses engagements.</w:t>
      </w:r>
    </w:p>
    <w:p>
      <w:r>
        <w:rPr>
          <w:b/>
        </w:rPr>
        <w:t>E. 3.1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3.2</w:t>
      </w:r>
    </w:p>
    <w:p>
      <w:r>
        <w:t>La critique est fondée. L'attestation du 11 janvier 2010 renseigne sur la solvabilité de la société. Elle avait par ailleurs été produite selon les formes prescrites et en temps utile puisque le tribunal de première instance en avait tenu compte dans ses considérants. En l'ignorant, la cour cantonale a versé dans l'arbitraire.</w:t>
      </w:r>
    </w:p>
    <w:p>
      <w:r>
        <w:rPr>
          <w:b/>
        </w:rPr>
        <w:t>E. 4</w:t>
      </w:r>
    </w:p>
    <w:p>
      <w:r>
        <w:t>La recourante reproche à l'autorité précédente d'avoir considéré qu'elle se trouvait en état de suspension de paiements. Elle se plaint d'une violation de l' art. 190 al. 1 ch. 2 LP .</w:t>
      </w:r>
    </w:p>
    <w:p>
      <w:r>
        <w:t>Aux termes de cette disposition, le créancier peut requérir la faillite sans poursuite préalable si le débiteur sujet à la poursuite par voie de faillite a suspendu ses paiements. La notion de suspension de paiements est une notion imprécise qui confère au juge de la faillite un ample pouvoir d'appréciation (arrêt du Tribunal fédéral du 17 juin 1932 publié in : SJ 1933 p. 145; arrêt 5P.312/2002 du 13 février 2003 consid. 3.3; Flavio Cometta, in : Commentaire romand, Poursuite et faillite, 2005, n° 10 ad art. 190 LP ; Hansjörg Peter, Edition annotée de la loi fédérale sur la poursuite pour dettes et la faillite, 2010, p. 851; SJ 1994 p. 434 ss; Ueli Huber, Kurzkommentar SchKG, 2009, n. 8 ad art. 190 LP ). La suspension de paiements a été préférée par le législateur à l'insolvabilité parce qu'elle est perceptible extérieurement et, dès lors, plus aisée à constater que l'insolvabilité proprement dite; il s'agit ainsi de faciliter au requérant la preuve de l'insolvabilité.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(arrêts 5A_367/2008 du 11 juillet 2008 consid. 4.1 et 5P.412/1999 du 17 décembre 1999 consid. 2b in : SJ 2000 I p. 250 et les références).</w:t>
      </w:r>
    </w:p>
    <w:p>
      <w:r>
        <w:t>Le non-paiement de créances de droit public peut constituer un indice de suspension de paiements (arrêt 5P.412/1999 du 17 décembre 1999 consid. 2b in : SJ 2000 I p. 248 et la réf. citée).</w:t>
      </w:r>
    </w:p>
    <w:p>
      <w:r>
        <w:t>Pour juger de l'existence d'une suspension de paiements, l'autorité judiciaire supérieure doit tenir compte des faits nouveaux ( art. 174 LP applicable par renvoi de l' art. 194 LP ) et donc de la situation financière du débiteur à l'échéance du délai de recours cantonal ( ATF 136 III 294 consid. 3).</w:t>
      </w:r>
    </w:p>
    <w:p>
      <w:r>
        <w:rPr>
          <w:b/>
        </w:rPr>
        <w:t>E. 4.1</w:t>
      </w:r>
    </w:p>
    <w:p>
      <w:r>
        <w:t>En l'espèce, il résulte du dossier que, même si la recourante a connu ces dernières années d'importantes difficultés financières, elle a pris depuis 2008 des mesures, notamment l'augmentation du capital-actions de 1'400'000 fr. par compensation de créances des administrateurs, ce qui a permis de redresser la situation et de réaliser un bénéfice de 775'029 fr. 68 au 30 septembre 2009.</w:t>
      </w:r>
    </w:p>
    <w:p>
      <w:r>
        <w:t>En ce qui concerne les poursuites en cours, seule est déterminante la situation de la société au 1er février 2010, soit au moment de l'échéance du délai de recours cantonal. A cette date, la recourante n'avait plus fait l'objet de nouvelles poursuites depuis huit mois. Par ailleurs, elle a aussi entrepris, dans les mois qui précèdent, de solder les poursuites qui étaient dirigées contre elle. Le 11 mai 2009, elle a ainsi conclu avec son principal poursuivant, la caisse cantonale de compensation, un accord de remboursement des cotisations sociales arriérées. Les paiements convenus de 12'000 fr. par mois ont été effectués ponctuellement, ce qui a permis à la recourante de réduire le solde dû au 30 décembre 2009 à 634'326 fr. 05. De même, la recourante a réglé en grande partie la créance déduite en poursuite du Service cantonal des allocations familiales, qui est passée d'un montant de 56'616 fr. au 8 juin 2009 à 4'157 fr. au 12 janvier 2010. Elle a également payé les dettes dues à ses fournisseurs qui, au 8 janvier 2010, avaient tous retiré les poursuites initiées, à l'exception de l'un d'entre eux, I.________ Sàrl, dont la créance s'élevait à 9'590 fr. 60.</w:t>
      </w:r>
    </w:p>
    <w:p>
      <w:r>
        <w:t>Reste à examiner si la recourante ne s'acquittait pas de dettes incontestées et exigibles. Contrairement à ce qu'a considéré l'autorité précédente, les difficultés financières rencontrées depuis 2003, soit par le passé, ne sont pas décisives. En effet, pour apprécier l'existence d'une suspension de paiements, il faut se placer au 1er février 2010. Or, la cour cantonale n'a pas constaté l'existence, à ce moment, de dettes exigibles et incontestées. En effet, les factures en suspens à l'égard de deux de ses fournisseurs étaient réglées, de même que la note de frais et honoraires du notaire relative à l'augmentation du capital-actions. Durant le courant de l'année 2009, la recourante a payé les arriérés de salaire qui étaient dus à deux de ses employés, le dernier versement ayant été fait le 11 janvier 2010. Les dettes qui seraient dues au 12 janvier 2010 que mentionne l'arrêt cantonal ne sont, soit pas exigibles (dette de 393'391 fr. 94 due au Crédit Suisse) soit contestées (prétentions salariales des Drs B.________ et R.________).</w:t>
      </w:r>
    </w:p>
    <w:p>
      <w:r>
        <w:t>En conséquence, l'autorité cantonale a violé le droit fédéral en considérant que les conditions d'application de l' art. 190 al. 1 ch. 2 LP étaient réunies. Selon les faits retenus par l'autorité cantonale, la recourante, au 1er février 2010, ne se trouvait pas en situation de suspension de paiements. Toutes ses dettes incontestées étaient réglées ou faisaient l'objet de plans de paiement et aucune nouvelle poursuite n'avait été ouverte contre elle depuis huit mois. L'attestation établie par l'organe de révision le 11 janvier 2010 confirme d'ailleurs que la société, à cette époque, était à même de faire face à ses engagements.</w:t>
      </w:r>
    </w:p>
    <w:p>
      <w:r>
        <w:t>Au vu de ce résultat, il est superflu d'examiner les griefs supplémentaires de la recourante relatifs à la constatation arbitraire des faits et à la violation de son droit d'être entendue.</w:t>
      </w:r>
    </w:p>
    <w:p>
      <w:r>
        <w:rPr>
          <w:b/>
        </w:rPr>
        <w:t>E. 5</w:t>
      </w:r>
    </w:p>
    <w:p>
      <w:r>
        <w:t>Le recours étant admis, la faillite de la recourante est annulée. L'intimé, qui succombe, supportera les frais judiciaires ( art. 66 al. 1 LTF ) et versera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