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5A_438/2020 vom 15. Juni 2020</w:t>
      </w:r>
    </w:p>
    <w:p>
      <w:r>
        <w:t>Bundesgericht, 2020-06-15, FR</w:t>
      </w:r>
    </w:p>
    <w:p>
      <w:r>
        <w:rPr>
          <w:b/>
        </w:rPr>
        <w:t xml:space="preserve">Quelle: </w:t>
      </w:r>
      <w:r>
        <w:t>https://mcp.opencaselaw.ch/entscheid/bger_5A_438_2020</w:t>
      </w:r>
    </w:p>
    <w:p>
      <w:r>
        <w:t>FR: TF 5A_438/2020 du 15 juin 2020</w:t>
      </w:r>
    </w:p>
    <w:p>
      <w:r>
        <w:t>IT: TF 5A_438/2020 del 15 giugno 2020</w:t>
      </w:r>
    </w:p>
    <w:p>
      <w:pPr>
        <w:pStyle w:val="Heading2"/>
      </w:pPr>
      <w:r>
        <w:t>Erwägungen</w:t>
      </w:r>
    </w:p>
    <w:p>
      <w:r>
        <w:rPr>
          <w:b/>
        </w:rPr>
        <w:t>E. 1</w:t>
      </w:r>
    </w:p>
    <w:p>
      <w:r>
        <w:t>Le recours a été déposé dans le délai légal ( art. 100 al. 2 let. a LTF ) contre une décision finale ( art. 90 LTF ) rendue par une autorité de surveillance en matière de poursuite pour dettes ayant statué en dernière (unique) instance cantonale ( art. 75 al. 1 LTF ). Il est recevable indépendamment de la valeur litigieuse ( art. 74 al. 2 let . c LTF). Le poursuivi, qui a participé à la procédure devant la juridiction précédente et a un intérêt digne de protection à l'annulation ou la modification de la décision attaquée, a qualité pour recourir ( art. 76 al. 1 LTF ). Le recours en matière civile étant recevable au regard de ces dispositions, le recours constitutionnel, qui lui est subsidiaire, est irrecevable (cf. art. 113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Une critique des faits qui ne satisfait pas à cette exigence est irrecevable ( ATF 141 IV 249 consid. 1.3.1 et la référence).</w:t>
      </w:r>
    </w:p>
    <w:p>
      <w:r>
        <w:t>En l'espèce, le recourant se plaint d'une constatation manifestement inexacte des faits et d'arbitraire à plusieurs égards. Force est toutefois de constater que ses critiques ne respectent pas les réquisits du principe d'allégation susmentionné. En particulier, le recourant n'expose pas à satisfaction en quoi les corrections de l'état de fait qu'il entend obtenir auraient une quelconque influence sur l'irrecevabilité de ses plaintes prononcée par la Chambre de surveillance. Or, on ne voit pas d'emblée quel impact les faits qui auraient été omis ou mal appréciés par la Chambre de surveillance pourraient avoir sur les motifs ayant conduit à ce prononcé d'irrecevabilité, lesquels ne sont pas du tout discutés. Demeure réservée la critique du recourant en lien avec l'émolument de décision et l'amende qui ont été mis à sa charge, laquelle sera examinée ci-après (cf.</w:t>
      </w:r>
    </w:p>
    <w:p>
      <w:r>
        <w:t>infra consid. 5). Dans cette mesure, le moyen tiré d'une constatation manifestement inexacte des faits est irrecevable.</w:t>
      </w:r>
    </w:p>
    <w:p>
      <w:r>
        <w:rPr>
          <w:b/>
        </w:rPr>
        <w:t>E. 3</w:t>
      </w:r>
    </w:p>
    <w:p>
      <w:r>
        <w:t>Le recourant estime que son droit d'être entendu (art. 29 al. 2 et 6 § 1 CEDH ) a été violé. Il fait valoir à cet égard que la décision querellée a été rendue le 14 mai 2020, alors qu'un délai au 18 mai 2020 avait été imparti par la Chambre de surveillance pour se déterminer ou retirer les plaintes.</w:t>
      </w:r>
    </w:p>
    <w:p>
      <w:r>
        <w:t>Le grief, totalement infondé, frise la témérité. Le recourant a dûment répondu à la Chambre de surveillance dans le délai imparti à cet effet par courrier du 4 mai 2020. On ne voit donc pas en quoi son droit d'être entendu aurait été violé. Si tant est qu'il entende plaider au nom de sa soeur, ce qui n'apparaît toutefois pas être le cas, il sera rappelé que seul peut se prévaloir d'une violation du droit d'être entendu celui qu'elle concerne (cf. arrêt 5A_306/2016 du 7 juillet 2016 consid. 3.1 et la référence).</w:t>
      </w:r>
    </w:p>
    <w:p>
      <w:r>
        <w:rPr>
          <w:b/>
        </w:rPr>
        <w:t>E. 4</w:t>
      </w:r>
    </w:p>
    <w:p>
      <w:r>
        <w:t>Le recourant se plaint d'une violation de l' art. 123 LP , applicable par renvoi de l' art. 143a LP . Il reproche à la Chambre de surveillance d'avoir nié que " l'incertitude liée aux sort de la procédure de revendication, de la procédure pour la correction du registre foncier et des procédures concernant l'application [des] art. 105i OAMal et 64a LAMal devant la Chambre des assurances sociales " justifiait de suspendre la procédure de vente et, partant, de reporter l'expertise, qui était prématurée et inutilement coûteuse.</w:t>
      </w:r>
    </w:p>
    <w:p>
      <w:r>
        <w:t>Ce faisant, le recourant ne discute pas valablement ( art. 42 al. 2 LTF ; cf.</w:t>
      </w:r>
    </w:p>
    <w:p>
      <w:r>
        <w:t>supra consid. 2.1) les motifs de la décision attaquée, étant rappelé que lorsque, comme en l'espèce, la décision repose sur plusieurs motivations indépendantes, alternatives ou subsidiaires, et que chacune d'elles suffit à sceller le sort de la cause, la partie recourante doit démontrer que chacune de ces motivations est contraire au droit ( ATF 142 III 364 consid. 2.4 i.f.; 138 I 97 consid. 4.1.4). Or, en l'occurrence, le recourant ne tente même pas de discuter l'argument - suffisant en soi - de la Chambre de surveillance aux termes duquel la teneur de ses courriers des 1eret 18 octobre 2019 ne permet pas de considérer qu'il a formellement et sérieusement requis un sursis au sens des art. 123 et 143a LP . Le moyen est irrecevable.</w:t>
      </w:r>
    </w:p>
    <w:p>
      <w:r>
        <w:rPr>
          <w:b/>
        </w:rPr>
        <w:t>E. 5</w:t>
      </w:r>
    </w:p>
    <w:p>
      <w:r>
        <w:t>Le recourant fait grief à la Chambre de surveillance d'avoir constaté les faits de manière manifestement inexacte, fait preuve d'arbitraire et violé l' art. 20a al. 2 ch. 5 LP en tant qu'elle a mis à sa charge un émolument de décision et une amende. Selon lui, les juges précédents auraient retenu sans preuve qu'il avait voulu convaincre l'expert de ne pas faire son expertise. Il avait au contraire toujours agi par la voie légale, estimant que l'expertise était prématurée et inutilement coûteuse vu que la procédure de vente devait être suspendue. N'ayant pas les moyens de consulter un avocat spécialiste de la LP, il avait fait l'effort de consulter la jurisprudence et la doctrine. Il en avait conclu qu'il existait en l'espèce des motifs suffisants pour demander l'annulation des saisies et la suspension de la procédure de vente. On ne pouvait dès lors lui reprocher d'user de procédés téméraires ou de mauvaise foi. Le montant de l'émolument de 600 fr. était disproportionné. Dès lors que les trois plaintes avaient été jointes, il ne saurait dépasser 200 fr. Quant à l'amende de 400 fr., elle était également disproportionnée eu égard à son revenu de 1'279 fr. par mois.</w:t>
      </w:r>
    </w:p>
    <w:p>
      <w:r>
        <w:rPr>
          <w:b/>
        </w:rPr>
        <w:t>E. 5.1</w:t>
      </w:r>
    </w:p>
    <w:p>
      <w:r>
        <w:t>Aux termes de l' art. 20a al. 2 ch. 5 LP ,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 ATF 127 III 178 consid. 2a; arrêt 5A_350/2017 du 28 juillet 2017 consid. 3.7). Il s'agit ainsi de sanctionner les procédés qui troublent le cours ordinaire de l'exécution forcée et les procédés dilatoires, dont le devoir général d'agir de bonne foi implique de s'abstenir (GILLIÉRON, Commentaire de la loi fédérale sur la poursuite pour dettes et la faillite, vol. I, 1999, n° 19 ad art. 20a LP ), tels que le dépôt d'un recours voué d'emblée à l'échec, la multiplication d'actes peu intelligibles, le fait de soulever des griefs " tous azimuts " faisant fi des règles de compétence des juridictions saisies (arrêt 7B.105/2005 du 3 août 2005 consid. 3.2).</w:t>
      </w:r>
    </w:p>
    <w:p>
      <w:r>
        <w:t>La condamnation aux frais ou à une amende en vertu de l' art. 20a al. 2 ch. 5 LP relève du (large) pouvoir d'appréciation de l'autorité de surveillance, dont l'exercice n'est revu en instance fédérale qu'avec retenue (arrêt 5A_640/2014 du 16 octobre 2014 consid. 4).</w:t>
      </w:r>
    </w:p>
    <w:p>
      <w:r>
        <w:rPr>
          <w:b/>
        </w:rPr>
        <w:t>E. 5.2</w:t>
      </w:r>
    </w:p>
    <w:p>
      <w:r>
        <w:t>En l'espèce, comme cela ressort des faits retenus dans la décision attaquée, le recourant agit dans le but évident de gagner du temps, en formant systématiquement plainte contre les diverses communications de l'Office, en revenant sur des décisions déjà rendues ou des arguments déjà traités et en présentant pêle-mêle ses moyens. La Chambre de surveillance n'a dès lors nullement abusé de son pouvoir d'appréciation en considérant que le recourant s'obstinait à user de procédés dilatoires et téméraires et qu'il y avait dès lors lieu de mettre à sa charge un émolument de décision et une amende, dont on ne voit pas en quoi le montant serait disproportionné. S'agissant de l'émolument de décision, le recourant ne prétend du reste même pas qu'il serait arbitrairement contraire au tarif cantonal applicable (cf. ATF 120 III 102 consid. 3; arrêts 5A_264/2017 du 13 septembre 2017 consid. 4.3; 5A_350/2017 précité). Autant que recevable, le grief est rejeté.</w:t>
      </w:r>
    </w:p>
    <w:p>
      <w:r>
        <w:rPr>
          <w:b/>
        </w:rPr>
        <w:t>E. 6</w:t>
      </w:r>
    </w:p>
    <w:p>
      <w:r>
        <w:t>En définitive, le recours constitutionnel subsidiaire doit être déclaré irrecevable et le recours en matière civile rejeté dans la très étroite mesure de sa recevabilité. Les recours étant d'emblée dénués de chances de succès, la demande d'assistance judiciaire est rejetée ( art. 64 al. 1 LTF ) et les frais judiciaires mis à la charge du recourant, qui succombe ( art. 68 al. 1 LTF ). Il n'y a pas lieu d'allouer de dépens ( art. 68 al. 3 LTF ). Le présent arrêt rend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