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5A_437/2019 vom 4. Juni 2019</w:t>
      </w:r>
    </w:p>
    <w:p>
      <w:r>
        <w:t>Bundesgericht, 2019-06-04, FR</w:t>
      </w:r>
    </w:p>
    <w:p>
      <w:r>
        <w:rPr>
          <w:b/>
        </w:rPr>
        <w:t xml:space="preserve">Quelle: </w:t>
      </w:r>
      <w:r>
        <w:t>https://mcp.opencaselaw.ch/entscheid/bger_5A_437_2019</w:t>
      </w:r>
    </w:p>
    <w:p>
      <w:r>
        <w:t>FR: TF 5A_437/2019 du 4 juin 2019</w:t>
      </w:r>
    </w:p>
    <w:p>
      <w:r>
        <w:t>IT: TF 5A_437/2019 del 4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29 avril 2019, la Cour de protection de l'enfant et de l'adulte du Tribunal cantonal de l'État de Fribourg a déclaré irrecevable - faute de motivation dirigée contre les arguments contenus dans la décision entreprise ou en raison de critiques dépassant le cadre de la décision attaquée - le recours interjeté le 21 mars 2019 par A.________ à l'encontre de la décision rendue le 25 février 2019 par la Justice de paix privant A.________ de l'exercice de ses droits civils, au sens de l' art. 394 al. 2 CC .</w:t>
      </w:r>
    </w:p>
    <w:p>
      <w:r>
        <w:rPr>
          <w:b/>
        </w:rPr>
        <w:t>E. 2</w:t>
      </w:r>
    </w:p>
    <w:p>
      <w:r>
        <w:t>Par acte du 27 mai 2019, A.________ exerce un recours en matière civile au Tribunal fédéral. Il déclare " contester " l'arrêt d'irrecevabilité déféré, dès lors que " la motivation [de son recours cantonal] ne fait aucunement défaut " et que cette décision contiendrait des " allégations fausses et mensongères ". Il conclut ainsi " réitérer " son recours cantonal. Ce faisant, le recourant ne soulève - même implicitement - aucun grief à l'encontre de la décision déférée. Il s'ensuit que le présent recours, qui ne correspond pas aux exigences minimales de motivation des art. 42 al. 2 et 106 al. 2 LTF, doit être d'emblée déclaré irrecevable selon la procédure simplifiée de l' art. 108 al. 1 let. b LTF .</w:t>
      </w:r>
    </w:p>
    <w:p>
      <w:r>
        <w:rPr>
          <w:b/>
        </w:rPr>
        <w:t>E. 3</w:t>
      </w:r>
    </w:p>
    <w:p>
      <w:r>
        <w:t>Dans les présentes circonstances, il y a lieu de renoncer à percevoir des frais judiciaires (art. 66 al. 1, 2ème phr.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