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5A_437/2018 vom 2. November 2018</w:t>
      </w:r>
    </w:p>
    <w:p>
      <w:r>
        <w:t>Bundesgericht, 2018-11-02, DE</w:t>
      </w:r>
    </w:p>
    <w:p>
      <w:r>
        <w:rPr>
          <w:b/>
        </w:rPr>
        <w:t xml:space="preserve">Quelle: </w:t>
      </w:r>
      <w:r>
        <w:t>https://mcp.opencaselaw.ch/entscheid/bger_5A_437_2018</w:t>
      </w:r>
    </w:p>
    <w:p>
      <w:r>
        <w:t>FR: TF 5A_437/2018 du 2 novembre 2018</w:t>
      </w:r>
    </w:p>
    <w:p>
      <w:r>
        <w:t>IT: TF 5A_437/2018 del 2 novembre 2018</w:t>
      </w:r>
    </w:p>
    <w:p>
      <w:pPr>
        <w:pStyle w:val="Heading2"/>
      </w:pPr>
      <w:r>
        <w:t>Erwägungen</w:t>
      </w:r>
    </w:p>
    <w:p>
      <w:r>
        <w:rPr>
          <w:b/>
        </w:rPr>
        <w:t>E. 1</w:t>
      </w:r>
    </w:p>
    <w:p>
      <w:r>
        <w:t>Das Bundesgericht prüft von Amtes wegen und mit freier Kognition, ob eine bei ihm eingereichte Beschwerde zulässig ist ( Art. 29 Abs. 1 BGG ; BGE 143 III 140 E. 1; 141 III 395 E. 2.1).</w:t>
      </w:r>
    </w:p>
    <w:p>
      <w:r>
        <w:t>Angefochten ist ein Endentscheid ( Art. 90 BGG ) einer letzten kantonalen Instanz, die als oberes Gericht ( Art. 75 BGG ) im Rahmen der Regelung des Getrenntlebens der Parteien über den persönlichen Verkehr zwischen Vater und Sohn sowie den Kindesunterhalt entschieden hat ( Art. 176 Abs. 1 Ziff. 1 und Abs. 3 ZGB ). Im Streit steht damit eine insgesamt nicht vermögensrechtliche Zivilsache ( Art. 72 Abs. 1 BGG ; vgl. Urteil 5A_1033/2017 vom 21. Juni 2018 E. 1.1). Die Beschwerde in Zivilsachen ist das zutreffende Rechtsmittel. Der Beschwerdeführer ist nach Art. 76 Abs. 1 BGG zur Beschwerde berechtigt, welche er auch fristgerecht erhoben hat ( Art. 100 Abs. 1 BGG ).</w:t>
      </w:r>
    </w:p>
    <w:p>
      <w:r>
        <w:rPr>
          <w:b/>
        </w:rPr>
        <w:t>E. 2.1</w:t>
      </w:r>
    </w:p>
    <w:p>
      <w:r>
        <w:t>Die Beschwerde in Zivilsachen hat ein Begehren zu enthalten ( Art. 42 Abs. 1 BGG ). Da die Beschwerde ein reformatorisches Rechtsmittel ist ( Art. 107 Abs. 2 BGG ), muss dieses Begehren grundsätzlich reformatorisch gestellt werden. Die rechtsuchende Partei hat daher einen Antrag in der Sache zu stellen, d.h. anzugeben, welche Punkte des kantonalen Entscheids sie anficht und inwiefern das Bundesgericht den angefochtenen Entscheid abändern soll. Dies beinhaltet, dass Rechtsbegehren beziffert werden, die eine Geldsumme zum Gegenstand haben. Ein blosser Aufhebungsantrag genügt diesen Anforderungen grundsätzlich nicht und macht die Beschwerde unzulässig; ein solcher Antrag ist ausnahmsweise dann ausreichend, wenn das Bundesgericht im Falle einer Gutheissung der Beschwerde naturgemäss nicht selbst entscheiden könnte. Zur Interpretation der gestellten Begehren zieht das Bundesgericht die Beschwerdebegründung bei (vgl. zum Ganzen BGE 143 III 111 E. 1.2; 136 V 131 E. 1.2; 134 II 235 E. 2, 379 E. 1.3).</w:t>
      </w:r>
    </w:p>
    <w:p>
      <w:r>
        <w:rPr>
          <w:b/>
        </w:rPr>
        <w:t>E. 2.2</w:t>
      </w:r>
    </w:p>
    <w:p>
      <w:r>
        <w:t>Zwischen den Parteien strittig ist die Ausgestaltung des persönlichen Verkehrs zwischen dem Beschwerdeführer und dem Sohn sowie der Kindesunterhalt (vgl. vorne E. 1). Sowohl hinsichtlich des persönlichen Verkehrs als auch bezüglich des Unterhalts ist es dem Bundesgericht im Falle einer Gutheissung der Beschwerde im Prinzip möglich, selbst in der Sache zu entscheiden. Dennoch beschränkt der Beschwerdeführer sich darauf, einen Antrag auf Rückweisung der Sache an das Obergericht zu stellen (vgl. vorne Bst. C), was nach dem Ausgeführten nicht zulässig ist.</w:t>
      </w:r>
    </w:p>
    <w:p>
      <w:r>
        <w:t>Etwas anderes würde nur gelten, wenn die Sache im Falle der Gutheissung der Beschwerde zwingend an das Obergericht zurückzuweisen wäre. Insoweit fällt auf, dass der Beschwerdeführer namentlich die Verletzung des Anspruchs auf rechtliches Gehör ( Art. 29 Abs. 2 BV ) sowie die willkürliche Sachverhaltsfeststellung ( Art. 9 BV ) durch das Obergericht geltend macht und damit Rügen erhebt, deren Begründetheit regelmässig die Rückweisung der Sache an die Vorinstanz zur Folge hat (vgl. etwa BGE 142 II 218 E. 2.8.1). F reilich ist dies nicht die zwingende Rechtsfolge des Zutreffens dieser Vorwürfe (vgl. Urteile 4A_453/2016 vom 16. Februar 2017 E. 4.2; 5A_1005/2017 vom 23. August 2018 E. 1.2). Ausserdem macht der Beschwerdeführer in einem Atemzug mit den genannten Vorbringen weitere Verfassungsverletzungen - namentlich die Missachtung des Anspruchs, nach Treu und Glauben behandelt zu werden - geltend, deren Vorliegen eine Rückweisung der Sache nicht zwingend notwendig erscheinen liessen. Aus der Beschwerdebegründung ist zudem ersichtlich, was der Beschwerdeführer mit seiner Eingabe vor Bundesgericht ungefähr erreichen möchte, nämlich die Ausdehnung des Besuchsrechts und eine Reduktion der Unterhaltsbeiträge.</w:t>
      </w:r>
    </w:p>
    <w:p>
      <w:r>
        <w:rPr>
          <w:b/>
        </w:rPr>
        <w:t>E. 2.3</w:t>
      </w:r>
    </w:p>
    <w:p>
      <w:r>
        <w:t>Folglich bleibt offen, ob die gestellten Rechtsbegehren den Anforderungen des Bundesgerichtsgesetzes genügen. In dieser Situation wäre vom Beschwerdeführer - er ist anwaltlich vertreten - zu erwarten, dass er seine Beschwerde auch hinsichtlich der Eintretensvoraussetzungen begründet ( Art. 42 Abs. 1 und 2 BGG ; vgl. BGE 134 II 120 E. 1; Urteil 4A_461/2017 vom 26. März 2018 E. 1.1, nicht publiziert in: BGE 144 III 253 ). Da er dies unterlässt, ist auf die Beschwerde nicht einzutreten.</w:t>
      </w:r>
    </w:p>
    <w:p>
      <w:r>
        <w:rPr>
          <w:b/>
        </w:rPr>
        <w:t>E. 3</w:t>
      </w:r>
    </w:p>
    <w:p>
      <w:r>
        <w:t>Ausgangsgemäss sind die Gerichtskosten (inkl. der Kosten des Verfahrens betreffend aufschiebende Wirkung) dem Beschwerdeführer aufzuerlegen ( Art. 66 Abs. 1 BGG ). Parteientschädigungen sind keine zu sprechen: Mangels Einholens einer Vernehmlassung sind der obsiegenden Beschwerdegegnerin in der Hauptsache keine entschädigungspflichtigen Kosten entstanden und im Verfahren betreffend die aufschiebende Wirkung werden in Konstellationen wie der vorliegenden praxisgemäss keine Parteikosten gesprochen ( Art. 68 Abs. 1 BGG ).</w:t>
      </w:r>
    </w:p>
    <w:p>
      <w:r>
        <w:t>Beide Parteien ersuchen allerdings um unentgeltliche Rechtspflege. Das Gesuch des Beschwerdeführers ist abzuweisen da seine Begehren nach dem Ausgeführten als von Anfang an aussichtlos qualifiziert werden müssen. Dies gilt auch für das Gesuch um aufschiebende Wirkung, das der Beschwerdeführer einzig mit dem Hinweis darauf begründet, ihm gegenüber sei das Inkasso angedroht worden (vgl. Verfügung 5A_437/2018 vom 13. Juni 2018; Art. 64 Abs. 1 BGG ). Das Gesuch der Beschwerdegegnerin ist demgegenüber gutzuheissen, soweit es nicht gegenstandslos geworden ist, und ihr ist ihr Rechtsanwalt als unentgeltlicher Vertreter beizuordnen. Die Beschwerdegegnerin ist aktenkundig mittellos, ihre Begehren können nicht als aussichtlos angesehen werden und die Beiordnung einer unentgeltlichen Vertretung erweist sich als notwendig ( Art. 64 Abs. 1 und 2 BGG ). Die Beschwerdegegnerin wird darauf hingewiesen, dass sie der Bundesgerichtskasse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