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5A_435/2015 vom 13. Oktober 2015</w:t>
      </w:r>
    </w:p>
    <w:p>
      <w:r>
        <w:t>Bundesgericht, 2015-10-13, FR</w:t>
      </w:r>
    </w:p>
    <w:p>
      <w:r>
        <w:rPr>
          <w:b/>
        </w:rPr>
        <w:t xml:space="preserve">Quelle: </w:t>
      </w:r>
      <w:r>
        <w:t>https://mcp.opencaselaw.ch/entscheid/bger_5A_435_2015</w:t>
      </w:r>
    </w:p>
    <w:p>
      <w:r>
        <w:t>FR: TF 5A_435/2015 du 13 octobre 2015</w:t>
      </w:r>
    </w:p>
    <w:p>
      <w:r>
        <w:t>IT: TF 5A_435/2015 del 13 ottobre 2015</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est atteinte ( art. 74 al. 1 let. b LTF ); la poursuivie, qui a succombé devant la juridiction précédente, a qualité pour recourir ( art. 76 al. 1 LTF ).</w:t>
      </w:r>
    </w:p>
    <w:p>
      <w:r>
        <w:rPr>
          <w:b/>
        </w:rPr>
        <w:t>E. 2</w:t>
      </w:r>
    </w:p>
    <w:p>
      <w:r>
        <w:t>Le recours en matière civile peut être formé pour violation du droit fédéral, y compris les droits constitutionnels ( art. 95 let. a LTF ). La décision en matière de mainlevée, définitive ou provisoire, n'est en effet pas une décision de mesures provisionnelles au sens de l' art. 98 LTF - contre laquelle seule la violation des droits constitutionnels peut être invoquée - ( ATF 135 III 670 consid. 1.3; 133 III 399 consid. 1.5) : le juge de la mainlevée n'examine pas l'existence de la créance en poursuite, mais celle d'un titre exécutoire, statuant sur le droit du créancier de poursuivre le débiteur ( ATF 132 III 140 consid. 4.1.1).</w:t>
      </w:r>
    </w:p>
    <w:p>
      <w:r>
        <w:rPr>
          <w:b/>
        </w:rPr>
        <w:t>E. 3.1</w:t>
      </w:r>
    </w:p>
    <w:p>
      <w:r>
        <w:t>Sur la base de l'expertise rendue dans la procédure pénale, l'autorité cantonale a considéré qu'il était plus vraisemblable que la signature figurant sur le document " reconnaissance d'honoraires " produit en pièce 5</w:t>
      </w:r>
    </w:p>
    <w:p>
      <w:r>
        <w:t>bis fût falsifiée qu'authentique. En revanche, s'agissant de celle figurant sur le décompte du 29 mars 2011 intitulé " conditions de vente " produit en pièce 5, elle a retenu qu'elle présentait de bonnes correspondances avec la signature authentique et, même si elle présentait des anomalies, aucun élément n'était susceptible de faire penser qu'il y aurait davantage de possibilités que cette signature fût falsifiée qu'authentique. Elle en a conclu que la recourante avait échoué à démontrer qu'il était plus vraisemblable que la signature présente sur ce document fût plus fausse qu'authentique. L'autorité cantonale a ensuite jugé que la pièce en cause constituait une reconnaissance de dette à concurrence de 305'038 fr. net.</w:t>
      </w:r>
    </w:p>
    <w:p>
      <w:r>
        <w:rPr>
          <w:b/>
        </w:rPr>
        <w:t>E. 3.2</w:t>
      </w:r>
    </w:p>
    <w:p>
      <w:r>
        <w:t>La recourante reproche à l'autorité cantonale d'avoir établi de manière arbitraire ( art. 9 Cst. ) les faits relatifs à l'authenticité de la signature. Elle soutient que son interprétation partielle et incomplète des conclusions de l'expertise est erronée.</w:t>
      </w:r>
    </w:p>
    <w:p>
      <w:r>
        <w:rPr>
          <w:b/>
        </w:rPr>
        <w:t>E. 3.2.1.1</w:t>
      </w:r>
    </w:p>
    <w:p>
      <w:r>
        <w:t>Aux termes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Constitue une reconnaissance de dette l'acte sous seing privé signé par le poursuivi, d'où ressort sa volonté de payer au poursuivant, sans réserve ni condition, une somme d'argent déterminée, ou aisément déterminable, et exigible ( ATF 136 III 627 consid. 2 et les références, 624 consid. 4.2.2).</w:t>
      </w:r>
    </w:p>
    <w:p>
      <w:r>
        <w:rPr>
          <w:b/>
        </w:rPr>
        <w:t>E. 3.2.1.2</w:t>
      </w:r>
    </w:p>
    <w:p>
      <w:r>
        <w:t>Lorsque le poursuivi conteste l'authenticité de la signature apposée sur la reconnaissance de dette valant titre de mainlevée provisoire, il doit rendre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Le juge prononce la mainlevée provisoire si la falsification n'est pas rendue vraisemblable séance tenante. Lorsqu'il statue ainsi selon la simple vraisemblance, il doit, en se basant sur des éléments objectifs, avoir l'impression que le fait invoqué s'est produit, sans pour autant devoir exclure la possibilité qu'il ait pu se dérouler autrement. Pour convaincre le juge, le poursuivi ne peut donc pas se contenter de contester l'authenticité de la signature; il doit démontrer, au moyen de pièces ou d'autres moyens de preuve immédiatement disponibles, qu'il est plus vraisemblable que la signature soit fausse qu'authentique ( ATF 132 III 140 consid. 4.1.2 et les références).</w:t>
      </w:r>
    </w:p>
    <w:p>
      <w:r>
        <w:rPr>
          <w:b/>
        </w:rPr>
        <w:t>E. 3.2.1.3</w:t>
      </w:r>
    </w:p>
    <w:p>
      <w:r>
        <w:t>La question de savoir si le débiteur a, ou non, rendu vraisemblable sa libération relève du fait ( ATF 130 III 321 consid. 5). Le recourant qui entend attaquer la décision cantonale sur ce dernier point doit ainsi présenter une motivation sur la base de l' art. 9 Cst. , répondant aux exigences du principe d'allégation. Il doit donc soulever ce grief et le motiver de manière claire et détaillée ( ATF 134 I 83 consid. 3.2). Les critiques appellatoires sont irrecevables ( ATF 133 III 589 consid. 2).</w:t>
      </w:r>
    </w:p>
    <w:p>
      <w:r>
        <w:t>Dans le domaine de l'appréciation des preuves et de la constatation des faits, le Tribunal fédéral se montre réservé,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et les références).</w:t>
      </w:r>
    </w:p>
    <w:p>
      <w:r>
        <w:rPr>
          <w:b/>
        </w:rPr>
        <w:t>E. 3.2.2</w:t>
      </w:r>
    </w:p>
    <w:p>
      <w:r>
        <w:t>En l'espèce, la recourante recopie des passages de l'expertise relatifs à l'examen de la pièce 5. La synthèse qu'en a faite l'autorité cantonale ne s'écarte toutefois pas de ceux-ci: l'expert a considéré que les concordances et anomalies trouvées pouvaient s'expliquer aussi bien dans l'hypothèse de l'authenticité que dans celle de l'imitation. C'est donc sans arbitraire que l'autorité cantonale a retenu que la recourante n'avait pas rendu plus vraisemblable l'imitation que l'authenticité, bien que celle-là ne puisse pas être exclue. Pour le reste, on ne saisit la pertinence ni de la similitude entre l'analyse de la pièce 3 et celle de la pièce 5, ni de la distinction entre celle-ci et la pièce 7 de son chargé que la recourante tend à démontrer; quant à la synthèse générale des constatations de l'expert que la recourante cite également, il en ressort seulement qu'aucune des signatures contestées ne présente des garanties d'authenticité suffisantes. En d'autres termes, un doute sur l'authenticité existe. Toutefois, pour refuser sans arbitraire le moyen libératoire du poursuivi, le juge n'a pas à être convaincu que l'imitation de la signature est exclue; il suffit que celle-ci ne soit pas plus vraisemblable que son authenticité.</w:t>
      </w:r>
    </w:p>
    <w:p>
      <w:r>
        <w:t>Il s'ensuit que le grief de la violation de l' art. 9 Cst. dans l'établissement des faits doit être rejeté, pour autant qu'il soit recevable.</w:t>
      </w:r>
    </w:p>
    <w:p>
      <w:r>
        <w:rPr>
          <w:b/>
        </w:rPr>
        <w:t>E. 3.3</w:t>
      </w:r>
    </w:p>
    <w:p>
      <w:r>
        <w:t>La recourante se plaint encore de la violation de l' art. 82 al. 2 LP . Dans cette critique, elle ne fait toutefois que rependre son grief de fait précédemment rejeté, en contestant la qualité de reconnaissance de dette du décompte au seul motif que la signature ne serait pas authentique.</w:t>
      </w:r>
    </w:p>
    <w:p>
      <w:r>
        <w:t>Il en découle que ce grief doit également être rejeté.</w:t>
      </w:r>
    </w:p>
    <w:p>
      <w:r>
        <w:rPr>
          <w:b/>
        </w:rPr>
        <w:t>E. 4</w:t>
      </w:r>
    </w:p>
    <w:p>
      <w:r>
        <w:t>En conclusion, le recours est rejeté, dans la mesure de sa recevabilité. Les frais judiciaires, arrêtés à 6'000 fr., sont mis à la charge de la recourante qui succombe ( art. 66 al. 1 LTF ). Elle versera en outre une indemnité de 500 fr. à titre de dépens à l'intimé, qui n'a pas répondu au fond mais a conclu au rejet de la requête d'effet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