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5A_435/2014 vom 21. Oktober 2014</w:t>
      </w:r>
    </w:p>
    <w:p>
      <w:r>
        <w:t>Bundesgericht, 2014-10-21, DE</w:t>
      </w:r>
    </w:p>
    <w:p>
      <w:r>
        <w:rPr>
          <w:b/>
        </w:rPr>
        <w:t xml:space="preserve">Quelle: </w:t>
      </w:r>
      <w:r>
        <w:t>https://mcp.opencaselaw.ch/entscheid/bger_5A_435_2014</w:t>
      </w:r>
    </w:p>
    <w:p>
      <w:r>
        <w:t>FR: TF 5A_435/2014 du 21 octobre 2014</w:t>
      </w:r>
    </w:p>
    <w:p>
      <w:r>
        <w:t>IT: TF 5A_435/2014 del 21 ottobre 2014</w:t>
      </w:r>
    </w:p>
    <w:p>
      <w:pPr>
        <w:pStyle w:val="Heading2"/>
      </w:pPr>
      <w:r>
        <w:t>Erwägungen</w:t>
      </w:r>
    </w:p>
    <w:p>
      <w:r>
        <w:rPr>
          <w:b/>
        </w:rPr>
        <w:t>E. 1</w:t>
      </w:r>
    </w:p>
    <w:p>
      <w:r>
        <w:t>Angefochten ist das Urteil des Obergerichts des Kantons Zug, das als Aufsichtsbehörde über Schuldbetreibung und Konkurs über die Nichtigkeit der gegen den Beschwerdeführer laufenden Betreibung und Vollstreckung befunden hat (Art. 72 Abs. 2 Bst. a BGG). Gegen Entscheide der kantonalen Aufsichtsbehörden in Schuldbetreibungs- und Konkurssachen ist die Beschwerde in Zivilsachen unabhängig vom Streitwert zulässig (Art. 74 Abs. 2 Bst. c BGG). Die Beschwerdefrist beträgt zehn Tage (Art. 100 Abs. 2 Bst. a BGG) und ist eingehalten. Der Beschwerdeführer hat am vorinstanzlichen Verfahren teilgenommen; er hat ein schutzwürdiges Interesse an der Aufhebung oder Abänderung des vorinstanzlichen Entscheids ( Art. 76 BGG ). Auf die Beschwerde in Zivilsachen ist grundsätzlich einzutreten. Die eventualiter erhobene subsidiäre Verfassungsbeschwerde erweist sich damit als gegenstandslos.</w:t>
      </w:r>
    </w:p>
    <w:p>
      <w:r>
        <w:rPr>
          <w:b/>
        </w:rPr>
        <w:t>E. 2</w:t>
      </w:r>
    </w:p>
    <w:p>
      <w:r>
        <w:t>Der Beschwerdeführer wirft der Vorinstanz diverse Verfassungsverletzungen vor, so eine Verletzung des Willkürverbots und des Gebots von Treu und Glauben ( Art. 9 BV ) sowie eine Verletzung seines Anspruchs auf rechtliches Gehör ( Art. 29 BV ). Soweit die diesbezüglichen Vorwürfe den Begründungs- und Rügeanforderungen ( Art. 42 Abs. 2 und Art. 106 Abs. 2 BGG ) genügen, werden sie im konkreten Sachzusammenhang erörtert.</w:t>
      </w:r>
    </w:p>
    <w:p>
      <w:r>
        <w:rPr>
          <w:b/>
        </w:rPr>
        <w:t>E. 3.1</w:t>
      </w:r>
    </w:p>
    <w:p>
      <w:r>
        <w:t>In rechtlicher Hinsicht stellt sich der Beschwerdeführer auf den Standpunkt, dass sämtliche gegen ihn gerichteten Betreibungshandlungen im Anschluss an den Entscheid des Arrestrichters vom 24. Mai 2013 nichtig sind. Namentlich gelte dies für den am 4. Juni 2013 vom Betreibungsamt L.________ ausgestellten Zahlungsbefehl Nr. xxx (s. Sachverhalt Bst. A).</w:t>
      </w:r>
    </w:p>
    <w:p>
      <w:r>
        <w:rPr>
          <w:b/>
        </w:rPr>
        <w:t>E. 3.2</w:t>
      </w:r>
    </w:p>
    <w:p>
      <w:r>
        <w:t>Der Beschwerdeführer hat, was von keiner Seite bestritten wird, seinen Wohnsitz im Ausland. Mit Bezug auf Liquidationsanteile von Schuldnern, die im Ausland wohnhaft sind, hat das Bundesgericht schon in BGE 118 III 62 E. 2 S. 66 erkannt, dass die Erbengemeinschaft im Verhältnis zum Erben nicht als Drittschuldnerin zu betrachten ist und Art. 49 SchKG keine Anwendung findet. Zusammen mit weiteren Gründen hat dies in BGE 118 III 62 dazu geführt, dass in der Schweiz kein Ort zur Verfügung stand, um den Liquidationsanteil an einer unverteilten Erbschaft des im Ausland wohnhaften Schuldners zu arrestieren. In einem nicht amtlich veröffentlichten Urteil hat das Bundesgericht klargestellt, dass es weder auf den letzten Wohnsitz des Erblassers noch auf die Belegenheit des Erbschaftsvermögens ankommt, sondern nach dem klaren Wortlaut von Art. 2 VVAG auf den Wohnort des Schuldners (Urteil B.96/1996 vom 29. Mai 1996 E. 2 und 3). Im Einklang mit dieser Rechtsprechung erkennt das Bundesgericht in seinem neueren Urteil 5A_628/2012 vom 29. Januar 2013 E. 3.1.2, dass es vor der Verfassung standhalte, den Arrest auf dem Liquidationsanspruch eines Erben mit Wohnsitz im Ausland auch dann zu verweigern, wenn der Erblasser seinen letzten Wohnsitz in der Schweiz hatte. Warum die geschilderte Praxis im vorliegenden Fall keine Anwendung finden soll, lässt sich dem angefochtenen Entscheid nicht entnehmen. Mithin fehlte es in örtlicher Hinsicht in der Tat an den erforderlichen Voraussetzungen für den am 24. Mai 2013 ausgestellten Arrestbefehl.</w:t>
      </w:r>
    </w:p>
    <w:p>
      <w:r>
        <w:rPr>
          <w:b/>
        </w:rPr>
        <w:t>E. 3.3</w:t>
      </w:r>
    </w:p>
    <w:p>
      <w:r>
        <w:t>Gemäss Art. 275 SchKG gelten für den Vollzug des Arrests die Art. 91-109 SchKG über die Pfändung sinngemäss. Grundsätzlich steht es dem Betreibungsamt nicht zu, die Grundlagen eines Arrestbefehls nachzuprüfen. Anderseits darf es auch nicht jeden Arrestbefehl, den ihm die Arrestbehörde erteilte, ohne weiteres vollziehen. So ist ein Arrestbefehl zum Beispiel dann nicht zu vollziehen oder von Amtes wegen aufzuheben, wenn dieser sich gegen einen Schuldner richtet, der im Zeitpunkt des Arrestentscheids bereits verstorben ist ( BGE 120 III 39 E. 1 S. 40). Ebenso scheidet der Vollzug des Arrestbefehls aus, wenn der zu arrestierende Vermögenswert nicht im Amtskreis des mit dem Vollzug beauftragten Betreibungsamts liegt ( BGE 112 III 117 E. 2 mit weiteren Hinweisen). Der vorliegende Fall verdient die gleiche Behandlung. Gestützt auf die in E. 3.2 erwähnte Rechtsprechung war der Liquidationsanteil an der unverteilten Erbschaft nicht im Amtskreis des Betreibungsamts L.________, sondern am Wohnsitz des Beschwerdeführers im Vereinigten Königreich gelegen. Entsprechend durfte das Betreibungsamt L.________ den Arrestbefehl vom 24. Mai 2013 nicht vollziehen. Die darauf gestützten Betreibungshandlungen erweisen sich als nichtig ( Art. 22 SchKG ).</w:t>
      </w:r>
    </w:p>
    <w:p>
      <w:r>
        <w:rPr>
          <w:b/>
        </w:rPr>
        <w:t>E. 4</w:t>
      </w:r>
    </w:p>
    <w:p>
      <w:r>
        <w:t>Zu prüfen bleibt, ob dem Beschwerdeführer allenfalls Rechtsmissbrauch vorzuwerfen ist, weil er sich heute auf die Nichtigkeit der gegen ihn angestrengten Betreibungshandlungen beruft, den fehlerhaften Arrestbefehl vom 24. Mai 2013 aber nicht angefochten hat. Dazu ist das Folgende zu sagen: Der Arrestrichter hat seinen Entscheid vom 24. Mai 2013 dem Beschwerdeführer an die Adresse seiner Tochter C.________ zugestellt. Soweit für das Bundesgericht ersichtlich, tat der Arrestrichter dies ohne Rücksprache mit dem Beschwerdeführer. Dieses Vorgehen widerspricht Art. 140 ZPO . Danach hätte der Arrestrichter den Beschwerdeführer zunächst auffordern müssen, ein Zustellungsdomizil in der Schweiz zu bezeichnen. Mithin wurde der Arrestbefehl vom 24. Mai 2013 dem Beschwerdeführer nicht korrekt zugestellt. In dieser Situation verbietet es sich, dem Beschwerdeführer vorzuwerfen, er habe sich erst gegen die ihm korrekt zugestellten Betreibungshandlungen im Anschluss an den Arrestbefehl vom 24. Mai 2013 zur Wehr gesetzt und nicht bereits den fehlerhaften Arrestbefehl angefochten.</w:t>
      </w:r>
    </w:p>
    <w:p>
      <w:r>
        <w:rPr>
          <w:b/>
        </w:rPr>
        <w:t>E. 5</w:t>
      </w:r>
    </w:p>
    <w:p>
      <w:r>
        <w:t>Ist davon auszugehen, dass die gegen den Beschwerdeführer angestrengte Betreibung keinen Bestand hat (E. 3.3), erweist sich das Eventualbegehren, die Gültigkeit des Rechtsvorschlags festzustellen (s. Sachverhalt Bst. C.a), als gegenstandslos.</w:t>
      </w:r>
    </w:p>
    <w:p>
      <w:r>
        <w:rPr>
          <w:b/>
        </w:rPr>
        <w:t>E. 6</w:t>
      </w:r>
    </w:p>
    <w:p>
      <w:r>
        <w:t>Aufgrund des Gesagten ist die Beschwerde gutzuheissen. Dem Gemeinwesen sind keine Gerichtskosten aufzuerlegen ( Art. 66 Abs. 4 BGG ). Dem nicht anwaltlich vertretenen Beschwerdeführer sind keine Kosten entstanden. Ihm ist daher auch keine Entschädigung geschuldet ( Art. 66 Abs. 1 BGG ). Das Gesuch des nicht anwaltlich vertretenen Beschwerdeführers um unentgeltliche Rechtspflege ( Art. 64 BGG )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