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5A_435/2013 vom 10. Juli 2013</w:t>
      </w:r>
    </w:p>
    <w:p>
      <w:r>
        <w:t>Bundesgericht, 2013-07-10, DE</w:t>
      </w:r>
    </w:p>
    <w:p>
      <w:r>
        <w:rPr>
          <w:b/>
        </w:rPr>
        <w:t xml:space="preserve">Quelle: </w:t>
      </w:r>
      <w:r>
        <w:t>https://mcp.opencaselaw.ch/entscheid/bger_5A_435_2013</w:t>
      </w:r>
    </w:p>
    <w:p>
      <w:r>
        <w:t>FR: TF 5A_435/2013 du 10 juillet 2013</w:t>
      </w:r>
    </w:p>
    <w:p>
      <w:r>
        <w:t>IT: TF 5A_435/2013 del 10 luglio 2013</w:t>
      </w:r>
    </w:p>
    <w:p>
      <w:pPr>
        <w:pStyle w:val="Heading2"/>
      </w:pPr>
      <w:r>
        <w:t>Erwägungen</w:t>
      </w:r>
    </w:p>
    <w:p>
      <w:r>
        <w:rPr>
          <w:b/>
        </w:rPr>
        <w:t>E. 1.1</w:t>
      </w:r>
    </w:p>
    <w:p>
      <w:r>
        <w:t>Gegen ein letztinstanzlich ergangenes Konkurserkenntnis ist die Beschwerde in Zivilsachen ohne Bindung an einen Streitwert gegeben ( Art. 72 Abs. 2 lit. a, Art. 74 Abs. 2 lit. d und Art. 75 Abs. 1 BGG ; BGE 133 III 687 E. 1.2 S. 689).</w:t>
      </w:r>
    </w:p>
    <w:p>
      <w:r>
        <w:rPr>
          <w:b/>
        </w:rPr>
        <w:t>E. 1.2</w:t>
      </w:r>
    </w:p>
    <w:p>
      <w:r>
        <w:t>In der Beschwerdeschrift ist in gedrängter Form darzulegen, inwiefern der angefochtene Akt Recht verletzt ( Art. 42 Abs. 2 BGG ). Beruht der angefochtene Entscheid auf mehreren selbständigen Begründungen, so hat sich der Beschwerdeführer mit jeder einzelnen auseinanderzusetzen, andernfalls auf die Beschwerde nicht einzutreten ist ( BGE 133 IV 121 E. 6 S. 120 f.). Mit der Beschwerde kann u.a. die Verletzung von Bundesrecht gerügt werden ( Art. 95 BGG ).</w:t>
      </w:r>
    </w:p>
    <w:p>
      <w:r>
        <w:rPr>
          <w:b/>
        </w:rPr>
        <w:t>E. 1.3</w:t>
      </w:r>
    </w:p>
    <w:p>
      <w:r>
        <w:t>Das Bundesgericht legt seinem Urteil den Sachverhalt zugrunde, den die Vorinstanz festgestellt hat ( Art. 105 Abs. 1 BGG ). Zulässig ist einzig die Rüge, dass eine Tatsachenfeststellung auf einer Rechtsverletzung beruht oder eine Tatsache offensichtlich unrichtig festgestellt worden sei ( Art. 97 Abs. 1 BGG ). Zudem kann das Bundesgericht die Sachverhaltsfeststellung der Vorinstanz von Amtes wegen berichtigen oder ergänzen, wenn sie offensichtlich unrichtig ist oder auf einer Rechtsverletzung im Sinne von Art. 95 BGG beruht ( Art. 105 Abs. 2 BGG ). Neue Tatsachen und Beweismittel dürfen vor Bundesgericht nur so weit vorgebracht werden, als erst der angefochtene Entscheid dazu Anlass gibt ( Art. 99 Abs. 1 BGG ). Echte Sachverhaltsnoven, das heisst solche Tatsachen, die erst nach der Ausfällung des angefochtenen Entscheides sich verwirklicht haben, sind unzulässig ( BGE 133 IV 342 E. 2.1 S. 344). Demgegenüber können im kantonalen Beschwerdeverfahren gestützt auf Art. 174 Abs. 1 SchKG neue Tatsachen vorgebracht werden, wenn diese vor dem erstinstanzlichen Konkurserkenntnis eingetreten sind. Diese Ausnahme geht dem allgemeinen Novenverbot im Beschwerdeverfahren vor ( Art. 326 Abs. 1 ZPO ; Urteil 5A_230/2011 vom 12. Mai 2011 E. 3.2.1).</w:t>
      </w:r>
    </w:p>
    <w:p>
      <w:r>
        <w:rPr>
          <w:b/>
        </w:rPr>
        <w:t>E. 2</w:t>
      </w:r>
    </w:p>
    <w:p>
      <w:r>
        <w:t>Anlass zur vorliegenden Beschwerde geben die Voraussetzungen, unter denen eine Konkurseröffnung aufgehoben werden kann.</w:t>
      </w:r>
    </w:p>
    <w:p>
      <w:r>
        <w:rPr>
          <w:b/>
        </w:rPr>
        <w:t>E. 2.1</w:t>
      </w:r>
    </w:p>
    <w:p>
      <w:r>
        <w:t>Die Rechtsmittelinstanz ( Art. 174 SchKG ) kann die Konkursöffnung aufheben, wenn der Schuldner seine Zahlungsfähigkeit glaubhaft macht und durch Urkunden beweist, dass inzwischen die Schuld, einschliesslich der Zinsen und Kosten im Sinne von Art. 68 SchKG getilgt ist (vgl. GIROUD, in: Basler Kommentar, Bundesgesetz über Schuldbetreibung und Konkurs, 2. Aufl. 2010, N. 21 zu Art. 174). Dazu gehören auch die durch die Beurteilung des Konkursbegehrens anfallenden Gerichtskosten (vgl. Art. 251 lit. a ZPO ; alt Art. 25 Ziff. 2 SchKG ) sowie eine allfällige Parteientschädigung in diesem Verfahren ( BGE 133 III 687 E. 2.3 S. 691 f.).</w:t>
      </w:r>
    </w:p>
    <w:p>
      <w:r>
        <w:rPr>
          <w:b/>
        </w:rPr>
        <w:t>E. 2.2</w:t>
      </w:r>
    </w:p>
    <w:p>
      <w:r>
        <w:t>Die Vorinstanz hat festgestellt, dass die Schuld nicht getilgt sei. Die Beschwerdeführerin erhebe erfolglos die Einrede der Verrechnung, da ihre Gegenforderung nicht durch rechtskräftiges Urteil, Urteilssurrogat oder Schuldanerkennung des Gläubigers nachgewiesen sei. Die Überweisung an das Betreibungsamt werde verspätet geltend gemacht, sie umfasse nur die in Betreibung gesetzte Forderung, ohne die Kosten des Verfahrens, und schliesslich belaste sie kein Konto in der Schweiz. Damit könne offen bleiben, ob der entsprechende Beleg als Urkundenbeweis tauge und ob die Überweisung an das sachlich unzuständige Betreibungsamt wirksam sei. Zudem gelinge es der Beschwerdeführerin nicht, ihre Zahlungsfähigkeit glaubhaft zu machen. Insbesondere seien ihre Vorbringen zum Liquiditätsnachweis auf die zum Konkurs führende Forderung beschränkt, obwohl sie die wirtschaftliche Leistungsfähigkeit ihres Betriebes belegen müsste.</w:t>
      </w:r>
    </w:p>
    <w:p>
      <w:r>
        <w:rPr>
          <w:b/>
        </w:rPr>
        <w:t>E. 2.3</w:t>
      </w:r>
    </w:p>
    <w:p>
      <w:r>
        <w:t>Die Berechnung der im Hinblick auf eine Aufhebung des Konkursbegehrens zu tilgende Schuld samt Zinsen und Kosten ist im vorliegenden Fall nicht zu überprüfen. Die Beschwerdeführerin stellt weder einzelne Positionen noch den Gesamtbetrag in Frage. Stattdessen wirft sie der Vorinstanz überspitzten Formalismus und mangelnde Klärung des Sachverhaltes vor. Insbesondere hätte sich das Obergericht beim Betreibungsamt über die Überweisung aus dem Ausland erkundigen und diese berücksichtigen müssen. Anderenfalls hätte sie ihr eine kurze Nachfrist für die Tilgung ansetzen müssen. Dies gelte umso mehr, als sie damals nicht anwaltlich vertreten war. Aus den im kantonalen Verfahren eingereichten Unterlagen ergebe sich zudem, dass sie nicht nur sämtliche offenen Forderungen getilgt habe, sondern sich ihre Unternehmung in wirtschaftlich stabilen Verhältnissen befinde.</w:t>
      </w:r>
    </w:p>
    <w:p>
      <w:r>
        <w:rPr>
          <w:b/>
        </w:rPr>
        <w:t>E. 2.4</w:t>
      </w:r>
    </w:p>
    <w:p>
      <w:r>
        <w:t>Mit diesen Vorbringen genügt die Beschwerdeführerin ihrer Begründungspflicht in keiner Weise. Sie beschränkt sich vielmehr auf eine allgemeine Kritik an der Vorinstanz. Zudem betont sie die fehlende anwaltliche Vertretung im kantonalen Verfahren, ohne allerdings auszuführen, weshalb die prozessualen Erfordernisse bei der Anfechtung eines Konkurserkenntnisses in einem solchen Fall nicht gelten sollten. Sie legt auch nicht dar, weshalb die Vorinstanz sich beim Betreibungsamt über den Eingang der Zahlung hätte erkundigen sollen, sieht doch Art. 174 Abs. 2 Ziff. 2 SchKG als Ort für die Hinterlegung des geschuldeten Betrags die Rechtsmittelinstanz vor. Soweit sie auf der Ansetzung einer Nachfrist zur Überweisung des Differenzbetrages besteht, fehlt es ebenfalls an einer Begründung.</w:t>
      </w:r>
    </w:p>
    <w:p>
      <w:r>
        <w:rPr>
          <w:b/>
        </w:rPr>
        <w:t>E. 2.5</w:t>
      </w:r>
    </w:p>
    <w:p>
      <w:r>
        <w:t>Schliesslich übergeht die Beschwerdeführerin, dass die Aufhebung des Konkurses neben der vollständigen Tilgung der Schuld samt Zinsen und Kosten auch die Glaubhaftmachung ihrer Zahlungsfähigkeit voraussetzt. Mit der blossen Behauptung, sie befinde sich in stabilen wirtschaftlichen Verhältnissen, kommt sie hier ihrer Begründungspflicht nicht nach.</w:t>
      </w:r>
    </w:p>
    <w:p>
      <w:r>
        <w:rPr>
          <w:b/>
        </w:rPr>
        <w:t>E. 3</w:t>
      </w:r>
    </w:p>
    <w:p>
      <w:r>
        <w:t>Nach dem Dargelegten ist der Beschwerde insgesamt kein Erfolg beschieden. Ausgangsgemäss trägt die Beschwerdeführerin die Gerichtskosten ( Art. 66 Abs. 1 BGG ). Eine Parteientschädigung ist nicht zu sprechen, da dem Beschwerdegegner im bundesgerichtlichen Verfahren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