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5A_434/2021 vom 26. Mai 2021</w:t>
      </w:r>
    </w:p>
    <w:p>
      <w:r>
        <w:t>Bundesgericht, 2021-05-26, DE</w:t>
      </w:r>
    </w:p>
    <w:p>
      <w:r>
        <w:rPr>
          <w:b/>
        </w:rPr>
        <w:t xml:space="preserve">Quelle: </w:t>
      </w:r>
      <w:r>
        <w:t>https://mcp.opencaselaw.ch/entscheid/bger_5A_434_2021</w:t>
      </w:r>
    </w:p>
    <w:p>
      <w:r>
        <w:t>FR: TF 5A_434/2021 du 26 mai 2021</w:t>
      </w:r>
    </w:p>
    <w:p>
      <w:r>
        <w:t>IT: TF 5A_434/2021 del 26 maggio 2021</w:t>
      </w:r>
    </w:p>
    <w:p>
      <w:pPr>
        <w:pStyle w:val="Heading2"/>
      </w:pPr>
      <w:r>
        <w:t>Erwägungen</w:t>
      </w:r>
    </w:p>
    <w:p>
      <w:r>
        <w:rPr>
          <w:b/>
        </w:rPr>
        <w:t>E. 1</w:t>
      </w:r>
    </w:p>
    <w:p>
      <w:r>
        <w:t>Angefochten ist eine obergerichtliche Weiterleitungsverfügung. Soweit es sich dabei nicht bloss um eine - beim Bundesgericht nicht anfechtbare (vgl. Urteil 5A_783/2014 vom 4. November 2014 E. 1) - prozessleitende Verfügung, sondern vor dem Hintergrund, dass das Obergericht damit implizit seine eigene funktionelle Zuständigkeit verneint hat, um einen selbstständig anfechtbaren Zwischenentscheid handeln würde, wären jedenfalls die diesbezüglichen Anfechtungsvoraussetzungen gemäss Art. 93 Abs. 1 BGG darzutun ( BGE 137 III 324 E. 1.1 S. 329; 141 III 80 E. 1.2 S. 81; 141 IV 289 E. 1.3 S. 292), was nicht geschieht.</w:t>
      </w:r>
    </w:p>
    <w:p>
      <w:r>
        <w:t>Vielmehr macht die Beschwerdeführerin geltend, sie müsse jetzt hier (gemeint: Psychiatriezentrum) rauskommen, alle Ärzte in V.________ würden sagen, das sei nicht normal, das Obergericht helfe nur der KESB, alle Berichte des Psychiatriezentrums seien erlogen und sie könne ihr Leben selbst und normal führen. Damit geht sie über den Anfechtungsgegenstand hinaus und es kann folglich darauf nicht eingetreten werden ( BGE 136 II 457 E. 4.2 S. 462 f.; 136 V 362 E. 3.4.2 S. 365 ; 142 I 155 E. 4.4.2 S. 156). Ob die Entlassungsvoraussetzungen gegeben sind, wird vielmehr die hierfür erstinstanzlich zuständige KESB Oberaargau entscheiden; dagegen wird der ordentliche Beschwerdeweg offenstehen.</w:t>
      </w:r>
    </w:p>
    <w:p>
      <w:r>
        <w:rPr>
          <w:b/>
        </w:rPr>
        <w:t>E. 2</w:t>
      </w:r>
    </w:p>
    <w:p>
      <w:r>
        <w:t>Nach dem Gesagten erweist sich die Beschwerde als offensichtlich unzulässig bzw. als offensichtlich nicht hinreichend begründet, weshalb auf sie nicht eingetreten werden kann und der Präsident im vereinfachten Verfahren entscheidet ( Art. 108 Abs. 1 lit. a und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