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433/2024 vom 24. September 2024</w:t>
      </w:r>
    </w:p>
    <w:p>
      <w:r>
        <w:t>Bundesgericht, 2024-09-24, FR</w:t>
      </w:r>
    </w:p>
    <w:p>
      <w:r>
        <w:rPr>
          <w:b/>
        </w:rPr>
        <w:t xml:space="preserve">Quelle: </w:t>
      </w:r>
      <w:r>
        <w:t>https://mcp.opencaselaw.ch/entscheid/bger_5A_433_2024</w:t>
      </w:r>
    </w:p>
    <w:p>
      <w:r>
        <w:t>FR: TF 5A 433/2024 du 24 septembre 2024</w:t>
      </w:r>
    </w:p>
    <w:p>
      <w:r>
        <w:t>IT: TF 5A 433/2024 del 24 settembre 2024</w:t>
      </w:r>
    </w:p>
    <w:p>
      <w:pPr>
        <w:pStyle w:val="Heading2"/>
      </w:pPr>
      <w:r>
        <w:t>Regeste</w:t>
      </w:r>
    </w:p>
    <w:p>
      <w:r>
        <w:t>inscription définitive d'une hypothèque légale des artisans et entrepreneurs | Droits réels</w:t>
      </w:r>
    </w:p>
    <w:p>
      <w:pPr>
        <w:pStyle w:val="Heading2"/>
      </w:pPr>
      <w:r>
        <w:t>Erwägungen</w:t>
      </w:r>
    </w:p>
    <w:p>
      <w:r>
        <w:rPr>
          <w:b/>
        </w:rPr>
        <w:t>E. 1</w:t>
      </w:r>
    </w:p>
    <w:p>
      <w:r>
        <w:t>Le Tribunal fédéral examine d'office et librement la recevabilité des recours qui lui sont soumis ( ATF 146 IV 185 consid. 2; 145 I 239 consid. 2).</w:t>
      </w:r>
    </w:p>
    <w:p>
      <w:r>
        <w:rPr>
          <w:b/>
        </w:rPr>
        <w:t>E. 1.1</w:t>
      </w:r>
    </w:p>
    <w:p>
      <w:r>
        <w:t>Les recours au Tribunal fédéral sont recevables contre les décisions finales ( art. 90 LTF ), les décisions partielles ( art. 91 LTF ) et les décisions préjudicielles ou incidentes aux conditions prévues par les art. 92 et 93 LTF . Selon la jurisprudence constante, un arrêt de renvoi constitue, en principe, une décision incidente ( ATF 144 III 253 consid. 1.3; 143 III 290 consid. 1.4; 138 I 143 consid. 1.2) contre laquelle le recours au Tribunal fédéral n'est ouvert qu'aux conditions des art. 92 et 93 LTF .</w:t>
      </w:r>
    </w:p>
    <w:p>
      <w:r>
        <w:rPr>
          <w:b/>
        </w:rPr>
        <w:t>E. 1.2</w:t>
      </w:r>
    </w:p>
    <w:p>
      <w:r>
        <w:t>Sous réserve des cas visés par l' art. 92 LTF , non réalisés ici, le recours en matière civile est recevable, conformément à l' art. 93 al. 1 LTF , contre les décisions préjudicielles et incidentes notifiées séparément si elles peuvent causer un préjudice irréparable (let. a) ou si l'admission du recours peut conduire immédiatement à une décision finale qui permet d'éviter une procédure probatoire longue et coûteuse (let. b). Un préjudice irréparable se rapporte à un dommage de nature juridique qui ne puisse pas être réparé ultérieurement par un jugement final ou une autre décision favorable au recourant ( ATF 144 IV 321 consid. 2.3; 141 IV 284 consid. 2.2; 137 IV 172 consid. 2.1). Cette réglementation est fondée sur des motifs d'économie de la procédure, le Tribunal fédéral ne devant en principe s'occuper d'une affaire qu'une seule fois ( ATF 147 III 159 consid. 4.1; 142 III 798 consid. 2.2; 141 III 80 consid. 1.2). En général, une décision de renvoi n'est pas susceptible de causer un préjudice irréparable aux parties, le seul allongement de la durée de la procédure ou le seul accroissement des frais de celle-ci n'étant pas considérés comme des éléments constitutifs d'un tel dommage ( ATF 147 III 159 consid. 4.1; 144 III 475 consid. 1.2; 142 III 798 consid. 2.2). Pour qu'une procédure probatoire puisse être qualifiée de longue et coûteuse au sens de l' art. 93 al. 1 let. b LTF , il faut que sa durée et son coût s'écartent notablement des procès habituels (arrêts 4A_250/2024 du 16 mai 2024 consid. 4.3.1; 9C_732/2023 du 4 mars 2023 consid. 2.2.2). Un tel cas de figure ne doit être retenu qu'avec réserve ( ATF 144 III 253 consid. 1.3; arrêt 4A_250/2024 précité loc. cit.). À moins que cela soit manifeste, il incombe au recourant d'exposer de manière détaillée quelles questions de fait sont encore litigieuses, quelles preuves - déjà offertes ou requises - devraient encore être administrées et en quoi celles-ci entraîneraient une procédure probatoire longue et coûteuse ( ATF 133 III 629 consid. 2.4.2; 118 II 91 consid. 1a; arrêt 4A_322/2024 du 17 juin 2024 consid. 4.3.1 et les références). Seule la procédure probatoire entre en considération, à l'exception de l'examen des questions de fond par les parties, de la rédaction d'écritures, de la préparation de plaidoiries ou encore du temps nécessaire pour que le tribunal statue à nouveau (arrêt 9C_732/2023 précité loc. cit. et l'arrêt cité).</w:t>
      </w:r>
    </w:p>
    <w:p>
      <w:r>
        <w:rPr>
          <w:b/>
        </w:rPr>
        <w:t>E. 2.1</w:t>
      </w:r>
    </w:p>
    <w:p>
      <w:r>
        <w:t>En l'espèce, il n'est pas douteux que l'arrêt attaqué revêt une nature incidente. Il ne met pas fin à la procédure dans la mesure où, après avoir considéré que A.________ SA restait en défaut de prouver que B.________ Sàrl avait commis un abus de droit manifeste en requérant l'inscription définitive de l'hypothèque légale des artisans et entrepreneurs, la cour cantonale a renvoyé la cause à la juge de district pour qu'elle examine si les autres conditions à cette inscription sont réalisées. Cela étant, la recourante ne prétend pas que la décision entreprise serait de nature à lui causer un préjudice irréparable au sens de l' art. 93 al. 1 let. a LTF , ce qui n'apparaît pas manifestement être le cas. Elle soutient que son recours serait néanmoins recevable en application de l' art. 93 al. 1 let. b LTF car son admission conduirait à une décision finale rejetant définitivement la requête en inscription définitive de l'hypothèque légale de l'intimée, ce qui serait de nature à éviter une procédure probatoire longue et coûteuse liée à la nécessité pour la juge de district d'examiner si les autres conditions à l'inscription définitive de l'hypothèque légale sont remplies ou non. Elle relève à cet égard que le montant de l'hypothèque, respectivement la valeur des travaux, sont contestés.</w:t>
      </w:r>
    </w:p>
    <w:p>
      <w:r>
        <w:rPr>
          <w:b/>
        </w:rPr>
        <w:t>E. 2.2</w:t>
      </w:r>
    </w:p>
    <w:p>
      <w:r>
        <w:t>Une telle motivation ne permet manifestement pas de comprendre en quoi le renvoi de la cause conduirait concrètement à une procédure longue et coûteuse. La seule indication que la première juge doive se prononcer sur le montant de l'hypothèque légale et que cette question est contestée ne suffit pas à démontrer que la seconde condition de l' art. 93 al. 1 let. b LTF serait réalisée, ce d'autant qu'il ressort des constatations de l'arrêt entrepris que des mesures d'instruction - à savoir le dépôt et la production de pièces, l'audition de quatorze témoins et la mise en oeuvre d'une expertise, dont la reddition a eu lieu le 8 juin 2020 - ont déjà été effectuées. Il suit de là que le recours est irrecevable.</w:t>
      </w:r>
    </w:p>
    <w:p>
      <w:r>
        <w:rPr>
          <w:b/>
        </w:rPr>
        <w:t>E. 3</w:t>
      </w:r>
    </w:p>
    <w:p>
      <w:r>
        <w:t>Les frais judiciaires doivent être mis à la charge de la recourante qui succombe ( art. 66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