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5A_433/2021 vom 26. Mai 2021</w:t>
      </w:r>
    </w:p>
    <w:p>
      <w:r>
        <w:t>Bundesgericht, 2021-05-26, DE</w:t>
      </w:r>
    </w:p>
    <w:p>
      <w:r>
        <w:rPr>
          <w:b/>
        </w:rPr>
        <w:t xml:space="preserve">Quelle: </w:t>
      </w:r>
      <w:r>
        <w:t>https://mcp.opencaselaw.ch/entscheid/bger_5A_433_2021</w:t>
      </w:r>
    </w:p>
    <w:p>
      <w:r>
        <w:t>FR: TF 5A_433/2021 du 26 mai 2021</w:t>
      </w:r>
    </w:p>
    <w:p>
      <w:r>
        <w:t>IT: TF 5A_433/2021 del 26 maggio 2021</w:t>
      </w:r>
    </w:p>
    <w:p>
      <w:pPr>
        <w:pStyle w:val="Heading2"/>
      </w:pPr>
      <w:r>
        <w:t>Erwägungen</w:t>
      </w:r>
    </w:p>
    <w:p>
      <w:r>
        <w:rPr>
          <w:b/>
        </w:rPr>
        <w:t>E. 1</w:t>
      </w:r>
    </w:p>
    <w:p>
      <w:r>
        <w:t>Sachenrechtliche Streitigkeiten sind grundsätzlich vermögensrechtlicher Natur, was namentlich auch im Zusammenhang mit Stockwerkeigentümerbeschlüssen gilt ( BGE 108 II 77 ; Urteil 5A_795/2012 vom 21. Februar 2013 E. 1).</w:t>
      </w:r>
    </w:p>
    <w:p>
      <w:r>
        <w:t>Das Obergericht hat für die Rechtsmittelbelehrung einen Streitwert von weniger als Fr. 30'000.-- festgestellt, was die Beschwerdeführerin als offensichtlich unrealistisch und unverhältnismässig bezeichnet, zumal ihr der Verwalter der Stockwerkeigentümergemeinschaft für das Jahr 2020 rechtsmissbräuchlich Anwaltskosten von über Fr. 40'000.-- zugeteilt habe. Gleichzeitig geht sie aber in der Sache selbst sinngemäss von einem Streitwert bis Fr. 1'000.-- aus.</w:t>
      </w:r>
    </w:p>
    <w:p>
      <w:r>
        <w:t>Ohne sich abschliessend festzulegen, sind die Friedensrichterin und das Obergericht sinngemäss von einem Streitwert von Fr. 10'000.-- ausgegangen (vgl. § 3 Abs. 1 GebV OG/ZH), worauf auch die Beschwerdeführerin hinweist. Für das bundesgerichtliche Verfahren ist der Streitwert nach Ermessen festzulegen ( Art. 51 Abs. 2 BGG ), wobei angesichts des Anfechtungsgegenstandes kein Anlass besteht, von der kantonalen Schätzung abzuweichen, weshalb ein Streitwert von Fr. 10'000.-- als angemessen erscheint. Letztlich bleibt dies aber für den vorliegenden Entscheid ohne Relevanz, weil auch die allgemeinen Begründungsvoraussetzungen von Art. 42 Abs. 2 BGG nicht erfüllt wären (vgl. E. 3).</w:t>
      </w:r>
    </w:p>
    <w:p>
      <w:r>
        <w:rPr>
          <w:b/>
        </w:rPr>
        <w:t>E. 2</w:t>
      </w:r>
    </w:p>
    <w:p>
      <w:r>
        <w:t>Ist der für die Beschwerde in Zivilsachen erforderliche Mindeststreitwert von Fr. 30'000.-- nicht erreicht ( Art. 74 Abs. 1 lit. b BGG ), steht nur die subsidiäre Verfassungsbeschwerde offen ( Art. 113 BGG ). Mit ihr kann einzig die Verletzung verfassungsmässiger Rechte gerügt werden ( Art. 116 BGG ), wofür das strenge Rügeprinzip gilt.</w:t>
      </w:r>
    </w:p>
    <w:p>
      <w:r>
        <w:rPr>
          <w:b/>
        </w:rPr>
        <w:t>E. 3</w:t>
      </w:r>
    </w:p>
    <w:p>
      <w:r>
        <w:t>Die Beschwerdeführerin macht zwar in allgemeiner Weise geltend, dass sie Schutz vor Willkür geniesse ( Art. 9 BV ), alles staatliche Handeln verhältnismässig sein müsse ( Art. 5 Abs. 3 BV ) und die Friedensrichterin zu Unparteilichkeit verpflichtet sei ( Art. 30 BV ). Indes sind die Ausführungen der Sache nach appellatorisch und vermöchten nicht einmal den allgemeinen Begründungsvoraussetzungen von Art. 42 Abs. 2 BGG zu genügen, setzt sie sich doch nicht sachgerichtet mit den Erwägungen des angefochtenen Entscheides auseinander (zur Begründungspflicht u.a. BGE 140 III 86 E. 2 S. 88 f.; 140 III 115 E. 2 S. 116).</w:t>
      </w:r>
    </w:p>
    <w:p>
      <w:r>
        <w:t>Diese gehen dahin, dass das Obergericht dem Friedensrichteramt keine allgemeinen Anweisungen geben könne und im Übrigen nur das Dispositiv der Kostenvorschussverfügung anfechtbar sei, mithin Anträge, welche sich nicht auf dieses bezögen, unzulässig seien. Abgesehen davon sei der auf einem Zirkulationsbeschluss der Stockwerkeigentümergemeinschaft beruhenden Vollmacht für Rechtsanwalt Reto Ziegler keine Einschränkung zu entnehmen, weshalb die Zustellung des Schlichtungsgesuches zu Recht an diesen erfolgt sei. Im Zusammenhang mit der Höhe des Kostenvorschusses von Fr. 420.-- hat das Obergericht erwogen, dass dieser sich auf Art. 98 ZPO und § 3 Abs. 1 GebV OG/ZH stütze und die Beschwerdeführerin nicht darlege, inwiefern der Streitwert nicht mehr als Fr. 1'000.-- betrage; abgesehen davon gehe es um einen Vorschuss und nicht um die definitive Kostenfestsetzung. Schliesslich seien auch keine Nichtigkeitsgründe ersichtlich.</w:t>
      </w:r>
    </w:p>
    <w:p>
      <w:r>
        <w:t>Damit setzt sich die Beschwerdeführerin wie gesagt nicht sachgerichtet auseinander. Sie wiederholt in appellatorischer Weise, dass ein Kostenvorschuss von Fr. 65.-- für das Schlichtungsverfahren angemessen und ein solcher von Fr. 420.-- nichtig sei, dass die Vollmacht für Rechtsanwalt Reto Ziegler offensichtlich ungültig sei, da mehr als drei Monate alt, dass dieser fälschlicherweise mitgeteilt habe, er könne die Verwaltung der Stockwerkeigentümergemeinschaft führen, dass der Verwalter C.________ schon 80 Jahre alt sei und gemäss Angaben des Strafverteidigers seine Erscheinungspflicht vor Gericht nicht erfüllen könne, u.ä.m.</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