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5A_430/2010 vom 13. August 2010</w:t>
      </w:r>
    </w:p>
    <w:p>
      <w:r>
        <w:t>Bundesgericht, 2010-08-13, DE</w:t>
      </w:r>
    </w:p>
    <w:p>
      <w:r>
        <w:rPr>
          <w:b/>
        </w:rPr>
        <w:t xml:space="preserve">Quelle: </w:t>
      </w:r>
      <w:r>
        <w:t>https://mcp.opencaselaw.ch/entscheid/bger_5A_430_2010</w:t>
      </w:r>
    </w:p>
    <w:p>
      <w:r>
        <w:t>FR: TF 5A_430/2010 du 13 août 2010</w:t>
      </w:r>
    </w:p>
    <w:p>
      <w:r>
        <w:t>IT: TF 5A_430/2010 del 13 agosto 2010</w:t>
      </w:r>
    </w:p>
    <w:p>
      <w:pPr>
        <w:pStyle w:val="Heading2"/>
      </w:pPr>
      <w:r>
        <w:t>Erwägungen</w:t>
      </w:r>
    </w:p>
    <w:p>
      <w:r>
        <w:rPr>
          <w:b/>
        </w:rPr>
        <w:t>E. 1</w:t>
      </w:r>
    </w:p>
    <w:p>
      <w:r>
        <w:t>Angefochten ist ein kantonal letztinstanzlicher Entscheid ( Art. 75 Abs. 1 BGG ), mit dem die unentgeltliche Rechtspflege mangels Bedürftigkeit der Beschwerdeführerin verweigert wurde. Es handelt sich um einen Zwischenentscheid, der einen nicht wieder gutzumachenden Nachteil bewirken kann ( Art. 93 Abs. 1 lit. a BGG ; BGE 129 I 129 E. 1.1 S. 131). Bei Zwischenentscheiden folgt der Rechtsweg jenem der Hauptsache ( BGE 133 III 645 E. 2.2 S. 647 f.). Dort geht es um einen Anfechtungsprozess gemäss Art. 285 ff. SchKG mit einem Streitwert von mehr als Fr. 30'000.--, so dass die Beschwerde gemäss Art. 72 ff. BGG zulässig ist (vgl. BGE 130 III 235 E. 1 S. 236).</w:t>
      </w:r>
    </w:p>
    <w:p>
      <w:r>
        <w:rPr>
          <w:b/>
        </w:rPr>
        <w:t>E. 2.1</w:t>
      </w:r>
    </w:p>
    <w:p>
      <w:r>
        <w:t>Der Anspruch auf unentgeltliche Rechtspflege ergibt sich als Minimalgarantie direkt aus Art. 29 Abs. 3 BV , soweit das kantonale Recht keine weitergehenden Ansprüche gewährt (vgl. BGE 124 I 1 E. 2 S. 2). Die Beschwerdeführerin macht nicht geltend, das kantonale Recht räume ihr weitergehende Ansprüche ein, als die in der Bundesverfassung verankerte Minimalgarantie, so dass der streitige Anspruch gestützt auf die bundesgerichtliche Praxis zu Art. 29 Abs. 3 BV zu prüfen ist.</w:t>
      </w:r>
    </w:p>
    <w:p>
      <w:r>
        <w:rPr>
          <w:b/>
        </w:rPr>
        <w:t>E. 2.2</w:t>
      </w:r>
    </w:p>
    <w:p>
      <w:r>
        <w:t>Das Bundesgericht prüft die Rüge der Verletzung von direkt aus Art. 29 Abs. 3 BV (bzw. Art. 6 Ziff. 3 lit. c EMRK ) hergeleiteten Rechtspflegeansprüchen mit freier Kognition; soweit es um tatsächliche Feststellungen der kantonalen Instanz geht, ist seine Prüfungsbefugnis auf Willkür beschränkt ( BGE 134 I 12 E. 2.3 S. 14 mit Hinweis).</w:t>
      </w:r>
    </w:p>
    <w:p>
      <w:r>
        <w:rPr>
          <w:b/>
        </w:rPr>
        <w:t>E. 2.3</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w:t>
      </w:r>
    </w:p>
    <w:p>
      <w:r>
        <w:rPr>
          <w:b/>
        </w:rPr>
        <w:t>E. 2.4</w:t>
      </w:r>
    </w:p>
    <w:p>
      <w:r>
        <w:t>Die Bundesverfassung schreibt den Kantonen nicht vor, in welchem Verfahren die Voraussetzungen der unentgeltlichen Rechtspflege zu prüfen sind. Namentlich verlangt Art. 29 Abs. 3 BV nicht, dass nach Abweisung eines ersten Gesuches gleichsam voraussetzungslos ein neues Gesuch gestellt werden kann (Urteil 4P.170/1996 vom 16. Oktober 1996 E. 2.a). Aus verfassungsrechtlicher Sicht genügt es, wenn die betroffene Partei im Rahmen des gleichen Zivilprozesses einmal die Gelegenheit erhält, die unentgeltliche Rechtspflege zu erlangen. Würde es den Parteien ermöglicht, jederzeit und voraussetzungslos die umfassende Wiedererwägung von abweisenden Entscheiden über ein Armenrechtsgesuch zu veranlassen, wäre der Prozessverschleppung Tür und Tor geöffnet (a.a.O.). Ein neuerliches Gesuch auf der Basis desselben Sachverhalts hat deshalb den Charakter eines Wiedererwägungsgesuches, auf dessen Beurteilung von Verfassungs wegen kein Anspruch besteht (Hans Ulrich Walder-Richli/Béatrice Grob-Andermacher, Zivilprozessrecht, 5. Aufl., Zürich 2009, § 26 N 140 ). Anders stellt sich die Situation nur dar, wenn sich die Verhältnisse seit dem Entscheid über das erste Gesuch geändert haben (Urteil 4P.170/1996 vom 16. Oktober 1996 E. 2.a). Die Zulässigkeit eines neuen Gesuches um unentgeltliche Rechtspflege auf der Basis geänderter Verhältnisse ergibt sich aus dem Umstand, dass der Entscheid über die Gewährung bzw. Verweigerung der unentgeltlichen Rechtspflege ein prozessleitender Entscheid ist, der nur formell, jedoch nicht materiell rechtskräftig wird (Urteil I 302/96 vom 23. Dezember 1997 E. 7b, publ. in SVR 1998 IV Nr. 13 S. 47; s. auch HANS ULRICH WALDER-RICHLI/BÉATRICE GROB-ANDERMACHER, a.a.O.).</w:t>
      </w:r>
    </w:p>
    <w:p>
      <w:r>
        <w:rPr>
          <w:b/>
        </w:rPr>
        <w:t>E. 3.1</w:t>
      </w:r>
    </w:p>
    <w:p>
      <w:r>
        <w:t>Der Appellationshof erwog zunächst, bezüglich des Wertes der Liegenschaft habe sich seit dem ersten und zweiten Verfahren nichts geändert. Unter Hinweis auf das Urteil 5A_294/2008 vom 18. August 2008 sei deshalb weiterhin davon auszugehen, dass die Beschwerdeführerin die Liegenschaft an der A.________strasse xx in B.________ mit einem Verkaufserlös von rund Fr. 100'000.-- verkaufen könne. Im Zusammenhang mit der Zumutbarkeit der Veräusserung führte der Appellationshof aus, das erstmals im Rekursschreiben vorgebrachte Argument, wonach die fragliche Liegenschaft als Altersvorsorge diene, könne nicht gehört werden. Im Übrigen habe sich auch diesbezüglich nichts geändert, weshalb es bei der bereits vom Bundesgericht festgestellten Zumutbarkeit der Veräusserung bleibe.</w:t>
      </w:r>
    </w:p>
    <w:p>
      <w:r>
        <w:rPr>
          <w:b/>
        </w:rPr>
        <w:t>E. 3.2</w:t>
      </w:r>
    </w:p>
    <w:p>
      <w:r>
        <w:t>Die Beschwerdeführerin bezeichnet diese Argumentation als willkürlich. Zudem gehe die Vorinstanz von einem Sachverhalt aus, der nicht der Wahrheit entspreche. Weitergehend setzt sie sich mit den Erwägungen des Appellationshofes nicht auseinander. Namentlich behauptet die Beschwerdeführerin nicht, dass sie gegenüber den Vorinstanzen rechtsgenüglich dargelegt und begründet habe, ihre Schlussfolgerungen seien auf zwischenzeitlich veränderte Verhältnisse zurückzuführen; vielmehr begnügt sie sich mit einer Darstellung des Sachverhaltes aus ihrer eigenen Sicht. Damit ist dem Einwand, der Appellationshof habe auf der Basis eines willkürlich festgestellten Sachverhalts entschieden, die Grundlage entzogen. Auf die Sachverhaltsrüge kann nicht eingetreten werden.</w:t>
      </w:r>
    </w:p>
    <w:p>
      <w:r>
        <w:t>Ebenso wenig setzt sich die Beschwerdeführerin mit dem Argument des Appellationshofes auseinander, wonach ihr Einwand betreffend der Altersvorsorge, weil erstmals im Rechtsmittelverfahren vorgetragen, nicht gehört werden könne. Auf die diesbezügliche Rüge kann nicht eingetreten werden. Ganz abgesehen davon ist der Einwand nicht zielführend, weil bei der Prüfung der zivilprozessualen Bedürftigkeit höchstens unpfändbare, formell der Altersvorsorge gewidmete Vermögenswerte vom anrechenbaren Vermögen ausgeklammert werden können (vgl. BGE 135 I 288 E. 2.4 S. 289 ff.). Dass es sich bei der fraglichen Liegenschaft um einen solchen Vermögenswert handelt, behauptet die Beschwerdeführerin nicht.</w:t>
      </w:r>
    </w:p>
    <w:p>
      <w:r>
        <w:rPr>
          <w:b/>
        </w:rPr>
        <w:t>E. 4</w:t>
      </w:r>
    </w:p>
    <w:p>
      <w:r>
        <w:t>Nach dem Gesagten kann auf die Beschwerde nicht eingetreten werden. Die Beschwerdeführerin unterliegt und wird kostenpflichtig ( Art. 66 Abs. 1 BGG ). Wie die vorstehenden Erwägungen aufzeigen, hatte die Beschwerde von Anfang an keine Aussicht auf Erfolg, weshalb es an einer materiellen Voraussetzung für die Gewährung der unentgeltlichen Rechtspflege mangelt ( Art. 64 Abs. 1 BGG ); das entsprechende Gesuch ist abzuweisen.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