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5A_42/2026 vom 2. April 2026</w:t>
      </w:r>
    </w:p>
    <w:p>
      <w:r>
        <w:t>Bundesgericht, 2026-04-02, DE</w:t>
      </w:r>
    </w:p>
    <w:p>
      <w:r>
        <w:rPr>
          <w:b/>
        </w:rPr>
        <w:t xml:space="preserve">Quelle: </w:t>
      </w:r>
      <w:r>
        <w:t>https://mcp.opencaselaw.ch/entscheid/bger_5A_42_2026</w:t>
      </w:r>
    </w:p>
    <w:p>
      <w:r>
        <w:t>FR: TF 5A_42/2026 du 2 avril 2026</w:t>
      </w:r>
    </w:p>
    <w:p>
      <w:r>
        <w:t>IT: TF 5A_42/2026 del 2 aprile 2026</w:t>
      </w:r>
    </w:p>
    <w:p>
      <w:pPr>
        <w:pStyle w:val="Heading2"/>
      </w:pPr>
      <w:r>
        <w:t>Erwägungen</w:t>
      </w:r>
    </w:p>
    <w:p>
      <w:r>
        <w:rPr>
          <w:b/>
        </w:rPr>
        <w:t>E. 1</w:t>
      </w:r>
    </w:p>
    <w:p>
      <w:r>
        <w:t>Mit Urteil vom 9. Dezember 2025 eröffnete das Bezirksgericht Meilen das öffentliche Testament vom 26. Juli 2023 des am 9. November 2025 verstorbenen B.________. Es erwog, dass aufgrund der vorläufigen Auslegung der letztwilligen Verfügung die gesetzliche Erbin C.________ als erbberechtigt erscheine. Es stellte C.________ die Ausstellung einer Erbbescheinigung in Aussicht, sofern innert Monatsfrist keine Einsprache erhoben werde.</w:t>
      </w:r>
    </w:p>
    <w:p>
      <w:r>
        <w:t>Gegen dieses Urteil erhob die Beschwerdeführerin (Nichte des Erblassers) mit Eingabe vom 12. Dezember 2025 Berufung. Mit Urteil vom 22. Dezember 2025 wies das Obergericht des Kantons Zürich die Berufung ab.</w:t>
      </w:r>
    </w:p>
    <w:p>
      <w:r>
        <w:t>Gegen dieses Urteil hat die Beschwerdeführerin am 14. Januar 2026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Obergericht hat den Zweck der Eröffnung letztwilliger Verfügungen und den Umfang der Prüfung durch das Eröffnungsgericht erläutert. Die Beschwerdeführerin beanstande weder konkret die Ermittlung der gesetzlichen Erben noch die vorläufige Auslegung der letztwilligen Verfügung. Nicht nachvollziehbar sei ihr Vorbringen, das öffentliche Testament des Erblassers sei ihr zu spät zugestellt worden. Es bestehe keine Pflicht, eine letztwillige Verfügung zum Zeitpunkt der Errichtung mitzuteilen. Nicht Verfahrensgegenstand sei die Erbschaft von D.________ sel. und nicht entscheidend sei die Schreibweise des Vornamens ihrer Mutter, der allerdings gemäss Familienschein richtig erfasst worden sei.</w:t>
      </w:r>
    </w:p>
    <w:p>
      <w:r>
        <w:rPr>
          <w:b/>
        </w:rPr>
        <w:t>E. 4</w:t>
      </w:r>
    </w:p>
    <w:p>
      <w:r>
        <w:t>Die Beschwerdeführerin legt nicht dar, inwiefern das Obergericht Recht verletzt oder den Sachverhalt offensichtlich unrichtig festgestellt haben soll. Sie behauptet zwar, sie habe konkret gesagt, es bestünden noch mehr Verfügungen, doch belegt sie dies nicht. Im Übrigen äussert sie sich zu ihrer finanziellen Situation und zu anderen Verfahren und sie macht geltend, es sei für sie lebenswichtig, endlich ein Erbe zu erhalten.</w:t>
      </w:r>
    </w:p>
    <w:p>
      <w:r>
        <w:t>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