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5A_427/2014 vom 16. Juni 2014</w:t>
      </w:r>
    </w:p>
    <w:p>
      <w:r>
        <w:t>Bundesgericht, 2014-06-16, DE</w:t>
      </w:r>
    </w:p>
    <w:p>
      <w:r>
        <w:rPr>
          <w:b/>
        </w:rPr>
        <w:t xml:space="preserve">Quelle: </w:t>
      </w:r>
      <w:r>
        <w:t>https://mcp.opencaselaw.ch/entscheid/bger_5A_427_2014</w:t>
      </w:r>
    </w:p>
    <w:p>
      <w:r>
        <w:t>FR: TF 5A_427/2014 du 16 juin 2014</w:t>
      </w:r>
    </w:p>
    <w:p>
      <w:r>
        <w:t>IT: TF 5A_427/2014 del 16 giugno 2014</w:t>
      </w:r>
    </w:p>
    <w:p>
      <w:pPr>
        <w:pStyle w:val="Heading2"/>
      </w:pPr>
      <w:r>
        <w:t>Erwägungen</w:t>
      </w:r>
    </w:p>
    <w:p>
      <w:r>
        <w:rPr>
          <w:b/>
        </w:rPr>
        <w:t>E. 1.1</w:t>
      </w:r>
    </w:p>
    <w:p>
      <w:r>
        <w:t>Angefochten ist - binnen Frist ( Art. 100 Abs. 1 BGG ) - ein kantonal letztinstanzlicher Nichteintretensentscheid ( Art. 75 Abs. 1 BGG ), der das erstinstanzliche Verfahren nicht abschliesst und damit als Zwischenentscheid zu qualifizieren ist ( BGE 134 III 188 ; zuletzt Urteile 5A_73/2014 vom 18. März 2014 E. 1.2 und 5A_421/2013 vom 19. August 2013 E. 1.3, in: FamPra.ch 2013 S. 1032). Dass der angefochtene Rechtsmittelentscheid auf Nichteintreten lautet, ändert an dieser Qualifikation nichts ( BGE 137 III 380 E. 1.1 S. 381 f.). Bei Zwischenentscheiden folgt der Rechtsweg jenem der Hauptsache. In dieser geht es um eine prozessleitende Verfügung. Diese erging ihrerseits in einer nachbarrechtlichen Streitsache und damit in einer vermögensrechtlichen Zivilsache ( Art. 72 Abs. 1 BGG ). Laut Ziffer 13 des angefochtenen Entscheids beträgt der Streitwert in der Hauptsache weniger als Fr. 30'000.--. Die Beschwerdeführer äussern sich dazu nicht. Damit ist das Streitwerterfordernis gemäss Art. 74 Abs. 1 lit. b BGG nicht erfüllt. Inwiefern sich eine Rechtsfrage von grundsätzlicher Bedeutung stellt, legen die Beschwerdeführer nicht dar (vgl. Art. 74 Abs. 2 lit. a i.V.m. Art. 42 Abs. 2 BGG ; BGE 133 III 439 E. 2.2.2.1 S. 442; 136 II 489 E. 2.6 S. 493 f.). Die Beschwerde in Zivilsachen ist daher nicht zulässig und die Eingabe als subsidiäre Verfassungsbeschwerde entgegenzunehmen ( Art. 113 ff. BGG ).</w:t>
      </w:r>
    </w:p>
    <w:p>
      <w:r>
        <w:rPr>
          <w:b/>
        </w:rPr>
        <w:t>E. 1.2</w:t>
      </w:r>
    </w:p>
    <w:p>
      <w:r>
        <w:t>Die Beschwerdeführer rügen, für das Hauptverfahren mangle es an einer gültigen Klagebewilligung; es sei vorab über die Zulässigkeit der Klage zu befinden. Der Entscheid, trotz umstrittener Gültigkeit der Klagebewilligung auf eine Klage einzutreten, ist ein nach Art. 92 Abs. 1 BGG anfechtbarer Zwischenentscheid über die funktionelle Zuständigkeit ( BGE 138 III 558 E. 1.3 S. 559). Damit ein Entscheid indes Beschwerdegegenstand gemäss Art. 92 BGG bilden kann, ist vorausgesetzt, dass darin endgültig über die Frage der Zuständigkeit befunden wird ( BGE 133 IV 288 E. 2.2 S. 291).</w:t>
      </w:r>
    </w:p>
    <w:p>
      <w:r>
        <w:t>Vorliegend hat die Instruktionsrichterin des Bezirksgerichts lediglich den Antrag auf Beschränkung des Verfahrens auf die Frage des Vorliegens einer gültigen Klagebewilligung abgewiesen. Sie hat mithin nicht endgültig über die (funktionelle) Zuständigkeit des Bezirksgerichts befunden. Folglich ist die Beschwerde nur unter den Voraussetzungen des Art. 93 BGG zulässig.</w:t>
      </w:r>
    </w:p>
    <w:p>
      <w:r>
        <w:rPr>
          <w:b/>
        </w:rPr>
        <w:t>E. 1.3</w:t>
      </w:r>
    </w:p>
    <w:p>
      <w:r>
        <w:t>Gegen Vor- und Zwischenentscheide, die weder die Zuständigkeit noch den Ausstand betreffen ( Art. 92 BGG ), ist die Beschwerde an das Bundesgericht gemäss Art. 93 Abs. 1 BGG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Der nicht wieder gutzumachende Nachteil im Sinne von Art. 93 Abs. 1 lit. a BGG muss rechtlicher Natur sein. Das setzt voraus, dass er sich auch mit einem späteren günstigen Endentscheid nicht oder nicht gänzlich beseitigen lässt. Die blosse Möglichkeit eines nicht wieder gutzumachenden Nachteils rechtlicher Natur genügt. Dagegen reichen rein tatsächliche Nachteile wie die Verfahrensverlängerung oder -verteuerung nicht aus ( BGE 137 III 380 E. 1.2.1 S. 382; 138 III 190 E. 6 S. 192; je mit Hinweisen). Nach der Rechtsprechung obliegt es dem Beschwerdeführer darzutun, dass eine dieser beiden Voraussetzungen erfüllt ist, es sei denn, deren Vorliegen springe geradezu in die Augen ( BGE 137 III 324 E. 1.1 S. 329; 134 III 426 E. 1.2 S. 429).</w:t>
      </w:r>
    </w:p>
    <w:p>
      <w:r>
        <w:t>Die Beschwerdeführer legen nicht dar, inwiefern ihnen durch das angefochtene Urteil ein Nachteil drohen könnte, der sich im weiteren Verfahren nicht mehr oder nicht mehr vollständig beheben liesse. Ein solcher ist denn auch nicht ersichtlich. In der Tat hat das angerufene Gericht in Anwendung von Art. 59 Abs. 1 und 2 ZPO i.V.m. Art. 60 ZPO zu prüfen, ob die Prozessvoraussetzungen erfüllt sind. Die Prüfung hat im Urteilszeitpunkt zu erfolgen (vgl. zur Veröffentlichung bestimmtes Urteil 4A_29/2014 vom 7. Mai 2014 E. 4.2.4). Das Gericht kann zu diesen Aspekten des Prozesses zwar unter bestimmten Voraussetzungen einen Zwischenentscheid treffen (Art. 237 Abs. 1ZPO). Wie sich aus der Formulierung des Gesetzes ergibt, "kann" das Gericht einen Zwischenentscheid treffen; dazu verpflichtet ist es nicht. Das Bezirksgericht wird in seinem Urteil über die Gültigkeit der Klagebewilligung befinden müssen. Kommt es zum Schluss, dass sie ungültig ist, wird es auf die Klage nicht eintreten. Ist das Gericht demgegenüber der Auffassung, es liege eine gültige Klagebewilligung vor, haben die Beschwerdeführer im Falle des Unterliegens in der Hauptsache die Möglichkeit, das Urteil anzufechten und den Mangel an der Klagebewilligung im Rechtsmittelverfahren geltend zu machen. Damit droht, wie bereits gesagt, kein Nachteil, der sich im weiteren Verfahren nicht mehr beheben liesse. Daher kann auf die Beschwerde nicht eingetreten werden.</w:t>
      </w:r>
    </w:p>
    <w:p>
      <w:r>
        <w:rPr>
          <w:b/>
        </w:rPr>
        <w:t>E. 2</w:t>
      </w:r>
    </w:p>
    <w:p>
      <w:r>
        <w:t>Bei diesem Verfahrensausgang haben die Beschwerdeführer solidarisch für die Gerichtskosten aufzukommen ( Art. 66 Abs. 1 und 5 BGG ). Die Einladung, sich zum Gesuch um aufschiebende Wirkung vernehmen zu lassen, haben die Beschwerdegegner dazu benutzt, auch eine Vernehmlassung zur Beschwerde selbst einzureichen. Unter diesen Umständen handelt es sich insgesamt um nicht durch den Rechtsstreit verursachte notwendige Kosten, so dass keine Parteientschädigung geschuldet ist (vgl. Art. 68 Abs. 2 BGG ).</w:t>
      </w:r>
    </w:p>
    <w:p>
      <w:r>
        <w:t>Mit diesem Entscheid wird das Gesuch um Gewährung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