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5A_423/2025 vom 6. November 2025</w:t>
      </w:r>
    </w:p>
    <w:p>
      <w:r>
        <w:t>Bundesgericht, 2025-11-06, FR</w:t>
      </w:r>
    </w:p>
    <w:p>
      <w:r>
        <w:rPr>
          <w:b/>
        </w:rPr>
        <w:t xml:space="preserve">Quelle: </w:t>
      </w:r>
      <w:r>
        <w:t>https://mcp.opencaselaw.ch/entscheid/bger_5A_423_2025</w:t>
      </w:r>
    </w:p>
    <w:p>
      <w:r>
        <w:t>FR: TF 5A_423/2025 du 6 novembre 2025</w:t>
      </w:r>
    </w:p>
    <w:p>
      <w:r>
        <w:t>IT: TF 5A_423/2025 del 6 novembre 2025</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 art. 278 al. 3 LP ) par une autorité cantonale de dernière instance ayant statué sur recours ( art. 75 al. 1 et 2 LTF ). La valeur litigieuse requise est atteinte (art. 74 al. 1 let. b et 51 al. 1 let. a LTF). Les recourantes, qui ont succombé devant l'autorité précédente et disposent d'un intérêt digne de protection à l'annulation ou à la modification de l'arrêt déféré, ont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23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Lorsque, comme en l'espèce, l'autorité précédente était saisie d'un recours ( art. 278 al. 3 LP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 5A_94/2024 du 12 août 2024 consid. 2.2 in fine ).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 5A_754/2024 du 18 février 2025 consid. 2.2. et les références).</w:t>
      </w:r>
    </w:p>
    <w:p>
      <w:r>
        <w:rPr>
          <w:b/>
        </w:rPr>
        <w:t>E. 3</w:t>
      </w:r>
    </w:p>
    <w:p>
      <w:r>
        <w:t>Le litige porte sur l'appartenance des biens séquestrés à la société B.________ Ltd.</w:t>
      </w:r>
    </w:p>
    <w:p>
      <w:r>
        <w:rPr>
          <w:b/>
        </w:rPr>
        <w:t>E. 3.1</w:t>
      </w:r>
    </w:p>
    <w:p>
      <w:r>
        <w:t>L'autorité cantonale a d'abord jugé que les pièces nouvelles n° 38 à 40 produites par les recourantes étaient irrecevables. Elle a relevé que les faits y afférents étaient des pseudo nova, en lien avec les raisons pour lesquelles A.________ SA aurait proposé à l'intimée, par courriel du 18 janvier 2024, de procéder à un versement supplémentaire de 8'000'000 USD. Or les recourantes pouvaient se prévaloir de ces faits devant le premier juge en faisant preuve de la diligence requise, étant précisé que la question des motifs justifiant ce versement supplémentaire avait été expressément soulevée par l'intimée dans le cadre de son mémoire de réponse de première instance. Ensuite, l'autorité cantonale a jugé, à la suite du premier juge, qu'il existait une domination économique de B.________ Ltd sur A.________ SA ainsi qu'un abus de droit à se prévaloir de l'existence d'entités distinctes, de sorte que les biens appartenant formellement à A.________ SA pouvaient être séquestrés. Elle a retenu les éléments suivants: B.________ Ltd, qui était une holding, détenait directement A.________ SA, selon son état financier au 30 juin 2023, ou indirectement par le biais de la société H.________ SA, elle-même entièrement détenue par B.________ Ltd. Elles semblaient d'ailleurs être directement dirigées et contrôlées par F.________, directeur de celles-ci, fondateur du groupe I.________ dont elles faisaient partie, ainsi qu'administrateur et actionnaire principal de B.________ Ltd à hauteur de 87.5%. F.________ avait signé le contrat de garantie litigieux au nom de B.________ Ltd, qui devenait garante, et avait été le principal interlocuteur de l'intimée dans le cadre de l'exécution de ce contrat, aux côtés du directeur financier du groupe, J.________. Aucun autre dirigeant de B.________ Ltd - ou même de A.________ SA - n'était intervenu lors des échanges relatifs à la garantie. Il ressortait, en outre, de ces échanges que F.________ et J.________ avaient toujours utilisé des adresses électroniques comportant l'indication "@..." ou "@...", créant ainsi une certaine opacité, en ce sens qu'il n'y avait pas de réelle distinction dans la structure des sociétés du groupe. A.________ SA, non partie au contrat de garantie, n'avait aucune raison d'intervenir dans l'exécution de celui-ci et d'ordonner un versement en faveur de l'intimée pour le paiement partiel de la garantie à hauteur de 8'000'000 USD. L'autorité cantonale a précisé sur ce point que le premier juge était fondé à retenir que les allégations des recourantes sur l'extinction d'une dette auprès de E.________ n'étaient pas vraisemblables car la seule pièce recevable produite à l'appui de cette thèse, soit le courriel de E.________ du 21 décembre 2023, ne suffisait pas, même sous l'angle de la vraisemblance, à retenir que cet ordre du 29 décembre 2023 aurait été donné à ce titre. Par ailleurs, par courriel du 18 janvier 2024, J.________ avait proposé à l'intimée d'effectuer un ordre additionnel de 8'000'000 USD à titre du solde de la garantie, toujours par le biais de A.________ SA selon les allégations des recourantes, alors que la créance de A.________ envers E.________ ne s'élevait qu'à 8'547'992 EUR. Par ailleurs, le fait que le courriel de E.________ du 21 décembre 2023 fût adressé au groupe I.________ (" Dear I.________ team "), et non spécifiquement à A.________ SA, accréditait la thèse soutenue par l'intimée, soit une confusion entre les différentes entités du groupe et leur patrimoine. A cela s'ajoutait qu'il ressortait du message vocal de F.________ et du courriel de J.________ adressés à l'intimée le 18 janvier 2024 que ces derniers considéraient les fonds à transférer le 29 décembre 2023 depuis le compte bancaire de A.________ SA comme appartenant au groupe, et non à celle-ci. Selon l'autorité cantonale, le fait que les représentants du groupe ne fassent aucune distinction entre les fonds des différentes entités suffisait à retenir, sous l'angle de la vraisemblance, une unité économique entre celles-ci. En réponse aux arguments soulevés par les recourantes (caractère exceptionnel de l'abus de droit, retenue dans l'application du Durchgriff inversé), l'autorité cantonale a considéré que les patrimoines des recourantes semblaient confondus, ce qui ressortait des échanges entre les parties du 18 janvier 2024, que l'indépendance juridique de A.________ SA apparaissait n'être qu'une façade, et que la confusion des structures avait été entretenue, à plusieurs reprises, à l'égard de l'intimée. En conséquence, en invoquant l'indépendance juridique de A.________ SA vis-à-vis de B.________ Ltd, ces dernières tentaient de soustraire de manière abusive aux séquestres litigieux les biens détenus au nom de A.________ SA et ce, au détriment des intérêts de l'intimée. Enfin, en tout état, l'application du principe de la transparence effectuée par le premier juge n'était pas critiquable, B.________ Ltd ayant vraisemblablement la mainmise sur les avoirs de A.________ SA, dont l'indépendance ne semblait être invoquée que pour se soustraire aux séquestres litigieux.</w:t>
      </w:r>
    </w:p>
    <w:p>
      <w:r>
        <w:rPr>
          <w:b/>
        </w:rPr>
        <w:t>E. 3.2</w:t>
      </w:r>
    </w:p>
    <w:p>
      <w:r>
        <w:t>Les recourantes se plaignent de l'application arbitraire ( art. 9 Cst. ) de l' art. 278 al. 3 LP au motif que l'autorité cantonale a jugé irrecevables les pièces nouvelles qu'elles avaient produites devant elle.</w:t>
      </w:r>
    </w:p>
    <w:p>
      <w:r>
        <w:rPr>
          <w:b/>
        </w:rPr>
        <w:t>E. 3.2.1</w:t>
      </w:r>
    </w:p>
    <w:p>
      <w:r>
        <w:t>Les recourantes se prévalent du fait que des pseudo nova peuvent être produites devant l'instance de recours si leur pertinence n'est apparue qu'à la suite de la décision rendue en première instance. Elles soutiennent que, après que le tribunal a établi que le premier paiement à concurrence de 8'000'000 USD avait été exécuté de manière crédible pour régler une dette due à E.________, il semblait évident que ce tribunal appliquerait le même raisonnement au deuxième paiement. Ainsi, elles devaient être autorisées à aborder ce fait décisif en appel, dont elles ne pouvaient pas savoir l'importance avant la notification du jugement du tribunal. En conséquence, les pièces relatives au deuxième paiement, qui permettent de faire la lumière sur le but premier de ce paiement, à savoir éteindre une dette que A.________ SA avait à l'encontre de E.________, et qui sont dès lors devenues pertinentes à ce moment seulement, doivent être considérées comme recevables.</w:t>
      </w:r>
    </w:p>
    <w:p>
      <w:r>
        <w:rPr>
          <w:b/>
        </w:rPr>
        <w:t>E. 3.2.2.1</w:t>
      </w:r>
    </w:p>
    <w:p>
      <w:r>
        <w:t>La décision sur opposition à l'ordonnance de séquestre peut faire l'objet d'un recours ( art. 319 ss CPC ). Les parties peuvent alléguer des faits nouveaux ( art. 278 al. 3 CPC ), qui comprennent les pseudo-nova, soit les faits et moyens de preuve qui existaient déjà avant la décision sur opposition. S'agissant des conditions auxquelles ceux-ci peuvent être introduits, l' art. 317 al. 1 CPC s'applique par analogie, ce qui signifie que les pseudo-nova doivent être invoqués sans retard et que l'autorité de recours ne peut les prendre en compte s'ils ne pouvaient être invoqués devant la première instance malgré la diligence requise ( ATF 145 III 324 consid. 6.6.4).</w:t>
      </w:r>
    </w:p>
    <w:p>
      <w:r>
        <w:rPr>
          <w:b/>
        </w:rPr>
        <w:t>E. 3.2.2.2</w:t>
      </w:r>
    </w:p>
    <w:p>
      <w:r>
        <w:t>En l'espèce, les pseudo-nova portent sur les raisons pour lesquelles A.________ SA aurait proposé à l'intimée de procéder à un versement supplémentaire de 8'000'000 USD. Il s'agit là d'un fait essentiel à l'appui duquel les recourantes auraient dû, pour procéder diligemment, d'emblée apporter toutes les preuves dont elles disposaient. En outre, les motifs qu'elles avancent pour expliquer leur stratégie sont contradictoires, pour autant qu'ils soient même compréhensibles. On ne saisit pas à quel premier paiement, dont le tribunal aurait retenu la crédibilité, les recourantes font référence. Dans tous les cas, elles n'expliquent pas en quoi il était inattendu que le premier juge examine cette question, soulevée par l'intimée devant lui dans son mémoire de réponse, pour appliquer le principe de la transparence. Il suit de là que le grief doit être rejeté, pour autant que recevable.</w:t>
      </w:r>
    </w:p>
    <w:p>
      <w:r>
        <w:rPr>
          <w:b/>
        </w:rPr>
        <w:t>E. 3.3</w:t>
      </w:r>
    </w:p>
    <w:p>
      <w:r>
        <w:t>Les recourantes se plaignent d'arbitraire ( art. 9 Cst. ) dans l'établissement des faits relatifs à la validité du contrat de garantie du 10 octobre 2023, à la qualité de membre du conseil d'administration de A.________ SA de F.________, et à la raison pour A.________ SA d'effectuer le paiement de 8'000'000 USD. Or dans leur recours cantonal, les recourantes n'ont pas invoqué l'arbitraire dans la constatation de ces faits-là. Elles se sont bornées, pour le troisième, à invoquer des pièces que l'autorité cantonale a jugé, à juste titre on l'a dit, irrecevables. Il suit de là que le grief est irrecevable (cf. supra consid. 2).</w:t>
      </w:r>
    </w:p>
    <w:p>
      <w:r>
        <w:rPr>
          <w:b/>
        </w:rPr>
        <w:t>E. 3.4</w:t>
      </w:r>
    </w:p>
    <w:p>
      <w:r>
        <w:t>Les recourantes se plaignent d'arbitraire ( art. 9 Cst. ) dans l'application de l' art. 272 al. 1 ch. 3 LP en tant que l'autorité cantonale a recouru au principe de la transparence pour déterminer l'appartenance des biens détenus par A.________ SA. D'emblée, la critique est irrecevable en tant que les recourantes se prévalent des motivations de A.________ SA dans l'exécution du paiement de 8'000'000 USD à l'intimée ou d'autres faits qui ne ressortent pas de l'arrêt attaqué et dont elles n'ont pas démontré l'omission arbitraire (cf. supra consid. 3.2 et 3.3).</w:t>
      </w:r>
    </w:p>
    <w:p>
      <w:r>
        <w:rPr>
          <w:b/>
        </w:rPr>
        <w:t>E. 3.4.1</w:t>
      </w:r>
    </w:p>
    <w:p>
      <w:r>
        <w:t>Les recourantes reprochent à l'autorité cantonale d'avoir retenu qu'elles formaient une unité économique malgré l'absence de transfert illicite de fonds de l'une à l'autre et, sans motivation, l'existence d'un abus de droit de leur part. Elles soutiennent que les éléments pris en considération par l'autorité cantonale sont insuffisants à cet égard et que celle-ci s'est fondée sur le simple fait que B.________ Ltd était l'actionnaire unique de A.________ SA pour admettre l'unité économique. Les recourantes affirment également que l'autorité cantonale a fait fi de l' ATF 145 III 351 , en ignorant la retenue particulière avec laquelle il faut procéder pour retenir l'existence d'un Durchgriff inversé.</w:t>
      </w:r>
    </w:p>
    <w:p>
      <w:r>
        <w:rPr>
          <w:b/>
        </w:rPr>
        <w:t>E. 3.4.2</w:t>
      </w:r>
    </w:p>
    <w:p>
      <w:r>
        <w:t>L'autonomie juridique de la personne morale doit être respectée. Partant, la mainmise sur des actifs qui appartiennent juridiquement à une entité juridique distincte du débiteur séquestré n'est permise qu'exceptionnellement, soit lorsque les conditions suivantes du principe de la transparence sont réalisées: premièrement, la personne morale doit être dépendante d'une personne qui la contrôle et, par conséquent, les intérêts économiques de la personne morale et de la personne qui la contrôle doivent être identiques; secondement, l'indépendance juridique de la personne morale doit être invoquée de manière abusive, c'est-à-dire dans l'intention d'en tirer un avantage injustifié, notamment pour se soustraire à l'exécution forcée ( ATF 145 III 351 consid. 4.2). Pour que l'abus de droit soit retenu, il faut être en présence d'une accumulation de comportements différents et extraordinaires, formant une machination, et un préjudice qualifié d'un tiers ( ATF 144 III 541 consid. 8.3.2; arrêt 5A_797/2023 du 7 juin 2024 consid. 4.4.4 et les autres références). Si, à titre exceptionnel, on fait abstraction de la séparation juridique formelle entre la personne morale et son actionnaire, il convient de distinguer la transparence directe, qui entraîne la responsabilité du sociétaire dominant, à côté de la société, pour les dettes de celle-ci, de la transparence inversée, qui entraîne la responsabilité de la société dominée, à côté du sociétaire, pour les dettes de celui-ci ( ATF 145 III 351 consid. 4.2; 144 III 541 consid. 8.3.4). Étant donné que les actifs de la société doivent être, en tant que masse servant à couvrir sa responsabilité, à la disposition des seuls créanciers de celle-ci, il faut faire preuve d'une retenue particulière pour admettre une transparence inversée ( ATF 145 III 351 consid. 4.3.2). En premier lieu, entre en considération le cas où un débiteur transfère de manière abusive ses biens à une société qu'il contrôle et avec qui il forme une unité économique afin de soustraire son patrimoine à la mainmise de ses créanciers ( ATF 144 III 541 consid. 8.3.2; arrêt 5A_797/2023 précité loc. cit. et les autres références).</w:t>
      </w:r>
    </w:p>
    <w:p>
      <w:r>
        <w:rPr>
          <w:b/>
        </w:rPr>
        <w:t>E. 3.4.3</w:t>
      </w:r>
    </w:p>
    <w:p>
      <w:r>
        <w:t>En l'espèce, il est entièrement renvoyé aux développements de l'arrêt attaqué, qui rend compte correctement de la jurisprudence en la matière ( art. 109 al. 3 LTF ; cf. consid. 5.1.1 à 5.1.5 de l'arrêt attaqué). La critique des recourantes manque de consistance. Celles-ci omettent l'ensemble des éléments pertinents que l'autorité cantonale a pris en considération et détaillés. Elles se bornent à opposer à cette motivation leur propre appréciation, de manière appellatoire, et se trompent lorsque qu'elles affirment que le transfert des biens d'une entité à l'autre est une condition d'application de la transparence inversée; il s'agit seulement de l'une des circonstances pertinentes pour en juger, les cas constitutifs d'abus de droit étant difficilement généralisables. Par ailleurs, l' ATF 145 III 351 qu'elles citent n'a pas remis en cause les conditions d'application du principe de la transparence posées à l' ATF 144 III 541 , auquel il se réfère d'ailleurs. Quelle que soit sa forme, l'application du principe de la transparence doit rester une exception et est soumis à des exigences strictes. En énonçant de manière toute générale que si l'autorité cantonale avait fait preuve de plus de retenue comme exigé à l'ATF 145 III précité, elle aurait livré une analyse diamétralement différente, les recourantes opposent des arguments purement théoriques et abstraits, qui ne remettent pas en cause les éléments essentiels de l'arrêt attaqué (domination économique, intervention dans l'exécution du contrat de garantie sans intérêt économique propre de A.________ SA, confusion volontaire par les administrateurs des structures des sociétés, indépendance de façade de A.________ SA). Il suit de là que le grief doit être rejeté, pour autant que recevable.</w:t>
      </w:r>
    </w:p>
    <w:p>
      <w:r>
        <w:rPr>
          <w:b/>
        </w:rPr>
        <w:t>E. 4</w:t>
      </w:r>
    </w:p>
    <w:p>
      <w:r>
        <w:t>En définitive, le recours est rejeté dans la mesure de sa recevabilité. Les frais judiciaires, arrêtés à 35'000 fr., sont mis solidairement à la charge des recourantes, qui succombent ( art. 66 al. 1 et 5 LTF ). Celles-ci verseront solidairement une indemnité de 500 fr. à l'intimée, à titre de dépens pour sa détermination sur la requête d'effet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