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5A_423/2013 vom 17. September 2013</w:t>
      </w:r>
    </w:p>
    <w:p>
      <w:r>
        <w:t>Bundesgericht, 2013-09-17, FR</w:t>
      </w:r>
    </w:p>
    <w:p>
      <w:r>
        <w:rPr>
          <w:b/>
        </w:rPr>
        <w:t xml:space="preserve">Quelle: </w:t>
      </w:r>
      <w:r>
        <w:t>https://mcp.opencaselaw.ch/entscheid/bger_5A_423_2013</w:t>
      </w:r>
    </w:p>
    <w:p>
      <w:r>
        <w:t>FR: TF 5A_423/2013 du 17 septembre 2013</w:t>
      </w:r>
    </w:p>
    <w:p>
      <w:r>
        <w:t>IT: TF 5A_423/2013 del 17 settembre 2013</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du recourant ( art. 72 al. 2 let. a LTF ), le recours en matière civile est en principe recevable, indépendamment de la valeur litigieuse ( art. 74 al. 2 let . d LTF); le recourant, qui a succombé devant la juridiction précédente, a qualité pour recourir ( art. 76 al. 1 LTF ).</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3</w:t>
      </w:r>
    </w:p>
    <w:p>
      <w:r>
        <w:t>Le recourant se plaint de la violation de son droit d'être entendu, protégé par l' art. 29 al. 2 Cst.</w:t>
      </w:r>
    </w:p>
    <w:p>
      <w:r>
        <w:rPr>
          <w:b/>
        </w:rPr>
        <w:t>E. 3.1.1</w:t>
      </w:r>
    </w:p>
    <w:p>
      <w:r>
        <w:t>Pour rendre sa décision, l'autorité cantonale a examiné si le recourant avait suspendu ses paiements tant à l'échéance du délai de recours devant elle qu'au moment de la reprise de la procédure, suspendue du 22 mai 2012 au 18 février 2013. Pour cette dernière date, elle s'est fondée sur un extrait du registre des poursuites concernant le recourant, du 22 mars 2013, qu'elle avait requis auprès de l'office des poursuites.</w:t>
      </w:r>
    </w:p>
    <w:p>
      <w:r>
        <w:rPr>
          <w:b/>
        </w:rPr>
        <w:t>E. 3.1.2</w:t>
      </w:r>
    </w:p>
    <w:p>
      <w:r>
        <w:t>Le recourant soutient que, sans avertir les parties, l'autorité cantonale a ordonné à l'office des poursuites de produire un nouveau relevé des poursuites le concernant, qu'il n'a pas été informé de cette mesure d'instruction et qu'il n'a jamais été invité à se déterminer sur ce moyen de preuve.</w:t>
      </w:r>
    </w:p>
    <w:p>
      <w:r>
        <w:rPr>
          <w:b/>
        </w:rPr>
        <w:t>E. 3.1.3</w:t>
      </w:r>
    </w:p>
    <w:p>
      <w:r>
        <w:t>L'intimée soutient que l'extrait du registre des poursuites le plus récent est essentiel à la procédure et doit être produit par le débiteur. A défaut, le juge peut retenir ce titre comme un fait notoire, vu que celui-ci peut être facilement établi en temps réel. Une telle intervention d'office est compatible avec les exigences de célérité de la procédure sommaire, même si elle prive le débiteur du droit de pouvoir s'exprimer sur le contenu de l'extrait. L'intimée ajoute que, après près d'un an de suspension de la procédure, la recourant aurait pu présenter spontanément un extrait du registre des poursuites et donner son appréciation à ce sujet s'il avait recouvré sa solvabilité.</w:t>
      </w:r>
    </w:p>
    <w:p>
      <w:r>
        <w:rPr>
          <w:b/>
        </w:rPr>
        <w:t>E. 3.2.1</w:t>
      </w:r>
    </w:p>
    <w:p>
      <w:r>
        <w:t>Le droit d'être entendu est une garantie constitutionnelle de nature formelle, dont la violation entraîne l'annulation de la décision attaquée sans égard aux chances de succès du recours sur le fond ( ATF 135 I 279 consid. 2.6.1). Ce moyen doit par conséquent être examiné en premier lieu ( ATF 137 I 195 consid. 2.2) et avec un plein pouvoir d'examen ( ATF 127 III 193 consid. 3 et les références).</w:t>
      </w:r>
    </w:p>
    <w:p>
      <w:r>
        <w:t>Le droit d'être entendu garanti à l' art. 29 al. 2 Cst. comprend notamment le droit pour l'intéressé de s'exprimer sur les éléments pertinents avant qu'une décision touchant sa situation juridique ne soit prise, de produire des preuves pertinentes, d'obtenir qu'il soit donné suite à ses offres de preuves pertinentes, d'avoir accès au dossier - qui s'étend à toutes les pièces décisives ( ATF 121 I 225 consid. 2a) -, et de participer à l'administration des preuves essentielles ou à tout le moins de s'exprimer sur son résultat ( ATF 135 I 279 consid. 2.3; 135 II 286 consid. 5.1; arrêt 5A_561/2011 du 19 mars 2012 consid. 10.1, non publié</w:t>
      </w:r>
    </w:p>
    <w:p>
      <w:r>
        <w:t>in</w:t>
      </w:r>
    </w:p>
    <w:p>
      <w:r>
        <w:t>ATF 138 III 289 ).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133 I 100 consid. 4.5; 133 I 98 consid. 2.2; 132 I 42 consid. 3.3.2 - 3.3.4; arrêt 5A_779/2010 du 1</w:t>
      </w:r>
    </w:p>
    <w:p>
      <w:r>
        <w:t>er avril 2011 consid. 2.2 et les autres références, publié</w:t>
      </w:r>
    </w:p>
    <w:p>
      <w:r>
        <w:t>in Pra 2012 (19) p. 1). Il en découle notamment que l'autorité qui verse au dossier de nouvelles pièces dont elle entend se prévaloir dans sa décision est tenue d'en aviser les parties, même si elle estime que les documents en question ne contiennent aucun nouvel élément de fait ou de droit ( ATF 132 V 387 consid. 3; arrêt 1C_51/2013 du 9 août 2013 consid. 2.1).</w:t>
      </w:r>
    </w:p>
    <w:p>
      <w:r>
        <w:rPr>
          <w:b/>
        </w:rPr>
        <w:t>E. 3.2.2</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135 III 88 consid. 4.1; 134 III 224 consid. 5.2; arrêts 4A_560/2012 du 1</w:t>
      </w:r>
    </w:p>
    <w:p>
      <w:r>
        <w:t>er mars 2013 consid. 2.2; 5A_62/2009 du 2 juillet 2009 consid. 2.1, publié</w:t>
      </w:r>
    </w:p>
    <w:p>
      <w:r>
        <w:t>in Pra 2010 (17) p. 117; 4P.277/1998 du 22 février 1999 consid. 3d). Le juge peut rechercher et déterminer lui-même le fait notoire, sans amener les parties à se prononcer sur ce point ( ATF 135 III 88 consid. 5; arrêts 1B_368/2012 du 13 mai 2013 consid. 2.2; 4P.277/1998 du 22 février 1999 consid. 3d).</w:t>
      </w:r>
    </w:p>
    <w:p>
      <w:r>
        <w:rPr>
          <w:b/>
        </w:rPr>
        <w:t>E. 3.2.3</w:t>
      </w:r>
    </w:p>
    <w:p>
      <w:r>
        <w:t>Toute personne peut requérir un extrait du registre des poursuites, à condition toutefois de rendre vraisemblable un intérêt (cf. art. 8a al. 1 LP ; arrêt 5A_201/2013 du 29 avril 2013 consid. 3). Savoir si et dans quelle mesure il se justifie d'accorder un tel droit à un intéressé et quel renseignement doit lui être communiqué doit faire l'objet d'une décision dans chaque cas d'espèce, sur la base de l'intérêt qu'il aura pu établir ( ATF 135 III 503 consid. 3).</w:t>
      </w:r>
    </w:p>
    <w:p>
      <w:r>
        <w:rPr>
          <w:b/>
        </w:rPr>
        <w:t>E. 3.3</w:t>
      </w:r>
    </w:p>
    <w:p>
      <w:r>
        <w:t>En l'espèce, en ne transmettant pas au recourant l'extrait du registre des poursuites du 22 mars 2013, alors qu'elle s'est fondée sur cette pièce pour rendre sa décision, l'autorité cantonale a violé le droit d'être entendu du recourant. Le registre des poursuites n'étant ni une publication accessible à chacun, ni une donnée connue de tous, les faits qui en ressortent ne sont pas notoires.</w:t>
      </w:r>
    </w:p>
    <w:p>
      <w:r>
        <w:t>Le recours doit donc être admis pour ce motif, sans qu'il soit nécessaire d'examiner les autres griefs soulevés par le recourant. La décision attaquée doit par conséquent être annulée et la cause renvoyée à l'autorité précédente pour nouvelle décision prise dans le respect du droit à prendre connaissance des pièces du dossier.</w:t>
      </w:r>
    </w:p>
    <w:p>
      <w:r>
        <w:rPr>
          <w:b/>
        </w:rPr>
        <w:t>E. 4</w:t>
      </w:r>
    </w:p>
    <w:p>
      <w:r>
        <w:t>En conclusion, le recours est admis, la décision attaquée annulée et la cause renvoyée à l'autorité précédente pour nouvelle décision dans le sens des considérants. Vu la situation économique du recourant, qui ne dispose pas de ressources suffisantes et dont les conclusions n'étaient par ailleurs pas d'emblée dénuées de chances de succès, il convient d'accéder à sa requête d'assistance judiciaire ( art. 64 al. 1 LTF ), Me Christian Canela lui étant désigné comme avocat d'office. L'intimée, qui succombe, doit être condamnée au paiement des frais et dépens de l'instance fédérale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