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5A_421/2013 vom 19. August 2013</w:t>
      </w:r>
    </w:p>
    <w:p>
      <w:r>
        <w:t>Bundesgericht, 2013-08-19, DE</w:t>
      </w:r>
    </w:p>
    <w:p>
      <w:r>
        <w:rPr>
          <w:b/>
        </w:rPr>
        <w:t xml:space="preserve">Quelle: </w:t>
      </w:r>
      <w:r>
        <w:t>https://mcp.opencaselaw.ch/entscheid/bger_5A_421_2013</w:t>
      </w:r>
    </w:p>
    <w:p>
      <w:r>
        <w:t>FR: TF 5A_421/2013 du 19 août 2013</w:t>
      </w:r>
    </w:p>
    <w:p>
      <w:r>
        <w:t>IT: TF 5A_421/2013 del 19 agosto 2013</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1.1</w:t>
      </w:r>
    </w:p>
    <w:p>
      <w:r>
        <w:t>Angefochten ist ein Urteil des Obergerichts des Kantons Zürich, mit welchem ein Entscheid des Bezirksgerichts Zürich betreffend Aktenedition geschützt wurde.</w:t>
      </w:r>
    </w:p>
    <w:p>
      <w:r>
        <w:rPr>
          <w:b/>
        </w:rPr>
        <w:t>E. 1.2</w:t>
      </w:r>
    </w:p>
    <w:p>
      <w:r>
        <w:t>Auskunfts- und Editionspflichten können gestützt auf unterschiedliche Rechtsgrundlagen begründet werden.</w:t>
      </w:r>
    </w:p>
    <w:p>
      <w:r>
        <w:rPr>
          <w:b/>
        </w:rPr>
        <w:t>E. 1.2.1</w:t>
      </w:r>
    </w:p>
    <w:p>
      <w:r>
        <w:t>Gemäss Art. 170 Abs. 1 ZGB kann jeder Ehegatte vom andern Auskunft über dessen Einkommen, Vermögen und Schulden verlangen. Der Richter kann den andern Ehegatten oder Dritte auf Begehren verpflichten, die erforderlichen Auskünfte zu erteilen und die notwendigen Urkunden vorzulegen ( Art. 170 Abs. 2 ZGB ). Beim Auskunftsanspruch der Ehegatten handelt es sich um materielles Recht. Dieser kann in einem unabhängigen Verfahren oder vorfrageweise in einem eherechtlichen Verfahren geltend gemacht werden, wobei der richterliche Entscheid hierüber nach einer umfassenden Prüfung in rechtlicher und tatsächlicher Hinsicht ergeht und materielle Rechtskraft entfaltet (vgl. zuletzt Urteil 5A_768/2012 vom 17. Mai 2013 E. 4.1 mit Hinweisen). Entscheide über die aus Art. 170 ZGB fliessenden Rechte und Pflichten stellen mithin Endentscheide im Sinne der bundesgerichtlichen Rechtsprechung dar ( BGE 120 II 352 E. 2a S. 354).</w:t>
      </w:r>
    </w:p>
    <w:p>
      <w:r>
        <w:rPr>
          <w:b/>
        </w:rPr>
        <w:t>E. 1.2.2</w:t>
      </w:r>
    </w:p>
    <w:p>
      <w:r>
        <w:t>Davon zu unterscheiden sind prozessuale Editions- und Auskunftspflichten gestützt auf das Verfahrensrecht, welche heute namentlich in Art. 150 ff. ZPO geregelt werden. Jede Partei hat das Recht zu beantragen, dass das Gericht über streitige und entscheidwesentliche Tatsachen Beweise abnimmt, nötigenfalls auch die Gegenpartei zur Herausgabe von Beweismitteln verpflichtet. Wer welche Beweismittel einzureichen hat, legt das Gericht in sog. Beweisverfügungen fest ( Art. 154 ZPO ). Unrichtige Beweisverfügungen können nur separat angefochten werden, wenn die betroffene Partei einen nicht leicht wieder gutzumachenden Nachteil dartut, ansonsten kann dies erst im Rahmen des Hauptrechtsmittels gegen den Endentscheid geschehen ( Art. 319 lit. b Ziff. 2 ZPO ; Botschaft zur ZPO vom 28. Juni 2006, BBl 2006 7221 ff., S. 7377).</w:t>
      </w:r>
    </w:p>
    <w:p>
      <w:r>
        <w:t>Das im erstinstanzlichen Scheidungsverfahren anwendbare kantonale Prozessrecht sah das Institut der Beweisverfügung ebenfalls vor (sog. Beweisauflagebeschluss; vgl. § 136 ZPO ZH). Zum Zeitpunkt der Beweiserhebung hält § 134 ZPO ZH fest, dass das Beweisverfahren nach dem Hauptverfahren durchgeführt wird; das Gericht kann aber schon während des Hauptverfahrens Beweise erheben, wenn sich damit das Verfahren vereinfachen lässt. An die den Beweisbeschlüssen zugrunde liegende Auffassung ist das Gericht nicht gebunden; es kann bis zum Erlass des Endentscheids andere Beweise auferlegen und die Beweislast ändern ( § 143 ZPO ZH).</w:t>
      </w:r>
    </w:p>
    <w:p>
      <w:r>
        <w:rPr>
          <w:b/>
        </w:rPr>
        <w:t>E. 1.2.3</w:t>
      </w:r>
    </w:p>
    <w:p>
      <w:r>
        <w:t>Vorliegend stellte die Beschwerdegegnerin den Antrag (der Beschwerdeführer sei zur Edition der Unterlagen zu verpflichten) an der Hauptverhandlung des Bezirksgerichts. Sie nahm dabei einerseits auf Art. 170 ZGB Bezug. Anderseits begründete sie den Antrag damit, dass sie für den Beweis ihres Standpunktes auf diese Unterlagen angewiesen sei und sich in einem Beweisnotstand befinde, weshalb der Ehemann neben den Auskunftspflichten aus Eherecht auch aus prozessualen Gründen zur Edition der nur ihm zur Verfügung stehenden Belege verpflichtet werden müsse. Sie berief sich dabei explizit auf § 136 ZPO ZH (vgl. die dem Gericht eingereichten Plädoyernotizen vom 20. September 2010, S. 21; act. 132 des Bezirksgerichts Zürich).</w:t>
      </w:r>
    </w:p>
    <w:p>
      <w:r>
        <w:t>Vor diesem Hintergrund ist ersichtlich, dass der Antrag namentlich aus prozessualen Gründen und gestützt auf Verfahrensrecht erfolgte. Es rechtfertigt sich daher, die Editionsbegehren der Beschwerdegegnerin - entgegen den kantonalen Ausführungen - als blossen Antrag auf Beweisabnahme durch das Gericht zu behandeln. Entsprechend stellen die umstrittenen kantonalen Entscheide Beweisverfügungen dar, welche bereits auf kantonaler Ebene nur unter der Voraussetzung von Art. 319 lit. b Ziff. 2 ZPO hätten angefochten werden können.</w:t>
      </w:r>
    </w:p>
    <w:p>
      <w:r>
        <w:rPr>
          <w:b/>
        </w:rPr>
        <w:t>E. 1.3</w:t>
      </w:r>
    </w:p>
    <w:p>
      <w:r>
        <w:t>Für die Beschwerde an das Bundesgericht ist massgebend, dass Entscheide über Beweismassnahmen Zwischenentscheide im Sinne von Art. 93 BGG darstellen ( BGE 134 III 188 ; vgl. auch Urteil 5A_612/2007 vom 22. Januar 2008 E. 5.2). Gegen selbständig eröffnete Zwischenentscheide, die weder die Zuständigkeit noch den Ausstand betreffen ( Art. 92 BGG ), ist die Beschwerde an das Bundesgericht gemäss Art. 93 Abs. 1 BGG zulässig, wenn ein nicht wieder gutzumachender Nachteil droht (lit. a), oder wenn die Gutheissung der Beschwerde sofort einen Endentscheid herbeiführen und damit einen bedeutenden Aufwand an Zeit oder Kosten für ein weitläufiges Beweisverfahren ersparen würde (lit. b). Diese Bestimmung gilt für die subsidiäre Verfassungsbeschwerde sinngemäss ( Art. 117 BGG ).</w:t>
      </w:r>
    </w:p>
    <w:p>
      <w:r>
        <w:t>Art. 93 Abs. 1 lit. b BGG fällt vorliegend ausser Betracht. Der Entscheid des Bundesgerichts kann - unabhängig davon, wie er ausfällt - das Scheidungsverfahren nicht beenden.</w:t>
      </w:r>
    </w:p>
    <w:p>
      <w:r>
        <w:t>Ein drohender nicht wieder gutzumachender Nachteil im Sinne von Art. 93 Abs. 1 lit. a BGG muss rechtlicher Natur sein, was voraussetzt, dass er sich auch mit einem späteren günstigen Endentscheid nicht oder nicht gänzlich beseitigen lässt. Rein tatsächliche Nachteile wie die Verfahrensverlängerung oder -verteuerung genügen nicht ( BGE 137 III 380 E. 1.2.1 S. 382 mit Hinweisen). Anordnungen betreffend die Beweisführung, wozu auch die Edition von Akten gehört, bewirken nach bundesgerichtlicher Rechtsprechung in aller Regel keinen nicht wieder gutzumachenden Nachteil. Davon gibt es Ausnahmen, so namentlich, wenn im Rahmen von Beweismassnahmen Geschäftsgeheimnisse offen gelegt werden müssen (Urteil 4A_269/2011 vom 10. November 2011 E. 1.3 mit Hinweisen).</w:t>
      </w:r>
    </w:p>
    <w:p>
      <w:r>
        <w:t>Der Beschwerdeführer muss begründen, weshalb die Voraussetzungen gemäss Art. 93 Abs. 1 BGG erfüllt sein sollen, sofern deren Vorhandensein nicht auf der Hand liegt ( BGE 137 III 324 E. 1.1 S. 329; 134 III 426 E. 1.2 S. 429).</w:t>
      </w:r>
    </w:p>
    <w:p>
      <w:r>
        <w:rPr>
          <w:b/>
        </w:rPr>
        <w:t>E. 1.4</w:t>
      </w:r>
    </w:p>
    <w:p>
      <w:r>
        <w:t>Inwiefern ihm</w:t>
      </w:r>
    </w:p>
    <w:p>
      <w:r>
        <w:t>durch die angeordnete Edition selbst ein nicht wieder gutzumachender Nachteil drohen sollte, führt der Beschwerdeführer nicht aus.</w:t>
      </w:r>
    </w:p>
    <w:p>
      <w:r>
        <w:t>Er bringt in erster Linie vor, mit dem Entscheid über die Editionspflicht sei auch über das (in der Hauptsache) anwendbare Recht entschieden worden. Die Edition sei gestützt auf schweizerisches Recht verfügt worden. Daraus schliesst er, dass auch schweizerisches Scheidungsrecht zur Anwendung kommen werde. Dies wiederum beinhalte die Gefahr, dass das zu fällende Scheidungsurteil mit dem in Ungarnergangenen Urteil (vorstehend E.) in Widerspruch trete. In der Folge äussert er sich ausführlich dazu, weshalb im Scheidungsverfahren ungarisches Recht massgebend sein müsse und erörtert verschiedene konkrete Punkte (z.B. Ehevertrag, behauptete Rechtswahl, Eigentumsverhältnisse der Parteien, trennungsbedingter Güterstand).</w:t>
      </w:r>
    </w:p>
    <w:p>
      <w:r>
        <w:t>Damit lässt sich kein drohender nicht wieder gutzumachender Nachteil dartun. Das Scheidungsgericht ist im weiteren Verfahren grundsätzlich nicht an die Begründung des Beweisbeschlusses gebunden (vgl. vorstehend E. 1.2.2). Überdies kann die Rüge, das Scheidungsgericht habe zu Unrecht schweizerisches Recht angewendet, gegen den Endentscheid vorgetragen werden.</w:t>
      </w:r>
    </w:p>
    <w:p>
      <w:r>
        <w:rPr>
          <w:b/>
        </w:rPr>
        <w:t>E. 1.5</w:t>
      </w:r>
    </w:p>
    <w:p>
      <w:r>
        <w:t>Der Beschwerdeführer kritisiert weiter, dass es zu einer Beweislastumkehr führen würde, wenn er - und nicht die Beschwerdegegnerin - die verlangten Akten einreichen müsse. Denn es liege an der Beschwerdegegnerin, Beweismittel einzureichen, wenn sie eine Beteiligungsforderung an seinem Eigengut, wozu das Grundstück in Z.________ gehöre, geltend machen wolle.</w:t>
      </w:r>
    </w:p>
    <w:p>
      <w:r>
        <w:t>Der Vorwurf entbehrt einer Grundlage. Die beweisbelastete Beschwerdegegnerin hat zwecks Beweises von Tatsachen (Vermögen), aus welchen sie Rechte ableitet, im Zuge ihres Beweisführungsrechts dem Gericht beantragt, den Beschwerdeführer aufzufordern, bestimmte, (nur) ihm zugängliche Dokumente vorzulegen. Dieser prozessual zulässige Antrag bzw. die Genehmigung desselben führen weder zu einer Umkehr der Beweislast im Sinne von Art. 8 ZGB noch der zivilprozessualen Beweisführungslast.</w:t>
      </w:r>
    </w:p>
    <w:p>
      <w:r>
        <w:t>Auf die Beschwerde kann somit nicht eingetreten werden. Hingegen ist die Frist für die Edition der Unterlagen - unter Beibehaltung der im angefochtenen Urteil angedrohten Säumnisfolgen - neu anzusetzen.</w:t>
      </w:r>
    </w:p>
    <w:p>
      <w:r>
        <w:rPr>
          <w:b/>
        </w:rPr>
        <w:t>E. 2</w:t>
      </w:r>
    </w:p>
    <w:p>
      <w:r>
        <w:t>Entsprechend dem Ausgang des Verfahrens sind die Gerichtskosten dem Beschwerdeführer aufzuerlegen ( Art. 66 Abs. 1 BGG ). Die Beschwerdegegnerin ist für ihre Stellungnahme zur beantragten aufschiebenden Wirkung nicht zu entschädigen, da sie insoweit unterlegen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