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5A_421/2009 vom 30. Oktober 2009</w:t>
      </w:r>
    </w:p>
    <w:p>
      <w:r>
        <w:t>Bundesgericht, 2009-10-30, FR</w:t>
      </w:r>
    </w:p>
    <w:p>
      <w:r>
        <w:rPr>
          <w:b/>
        </w:rPr>
        <w:t xml:space="preserve">Quelle: </w:t>
      </w:r>
      <w:r>
        <w:t>https://mcp.opencaselaw.ch/entscheid/bger_5A_421_2009</w:t>
      </w:r>
    </w:p>
    <w:p>
      <w:r>
        <w:t>FR: TF 5A_421/2009 du 30 octobre 2009</w:t>
      </w:r>
    </w:p>
    <w:p>
      <w:r>
        <w:t>IT: TF 5A_421/2009 del 30 ottobre 2009</w:t>
      </w:r>
    </w:p>
    <w:p>
      <w:pPr>
        <w:pStyle w:val="Heading2"/>
      </w:pPr>
      <w:r>
        <w:t>Erwägungen</w:t>
      </w:r>
    </w:p>
    <w:p>
      <w:r>
        <w:rPr>
          <w:b/>
        </w:rPr>
        <w:t>E. 1.1</w:t>
      </w:r>
    </w:p>
    <w:p>
      <w:r>
        <w:t>Le recours a été déposé en temps utile ( art. 100 al. 1 LTF ) contre une décision finale ( art. 90 LTF ) prise en dernière instance cantonale et sur recours par le tribunal supérieur du canton de Vaud ( art. 75 LTF ) dans une affaire civile ( art. 72 al. 1 LTF ) dont la valeur litigieuse atteint 30'000 fr. (art. 51 al. 4 et 74 al. 1 let. b LTF). Le recourant a pris part à la procédure devant l'autorité précédente et a un intérêt juridique à la modification de la décision attaquée ( art. 76 al. 1 LTF ). Le recours en matière civile est donc en principe recevable, en sorte que le recours constitutionnel - exercé à titre subsidiaire par le recourant - ne l'est pas ( art. 113 LTF ).</w:t>
      </w:r>
    </w:p>
    <w:p>
      <w:r>
        <w:rPr>
          <w:b/>
        </w:rPr>
        <w:t>E. 1.2</w:t>
      </w:r>
    </w:p>
    <w:p>
      <w:r>
        <w:t>Le Tribunal fédéral applique le droit d'office ( art. 106 al. 1 LTF ). Il ne connaît de la violation de droits fondamentaux ou du droit cantonal que si ce grief a été invoqué et motivé par le recourant ( art. 106 al. 2 LTF ), les exigences de motivation correspondant à celles de l' art. 90 al. 1 let. b OJ ( ATF 133 II 249 consid. 1.4.2 p. 254).</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constatés d'une manière manifestement inexacte ( art. 97 al. 1 LTF ) - c'est-à-dire arbitraire au sens de l' art. 9 Cst. ( ATF 133 II 249 consid. 1.2.2 p. 252) - doit démontrer, par une argumentation précise, en quoi consiste la violation; le Tribunal fédéral n'examine la violation de l'interdiction de l'arbitraire que si un tel moyen a été invoqué et motivé par le recourant ( art. 106 al. 2 LTF ), à savoir s'il a été expressément soulevé et exposé de façon claire et détaillée ( ATF 133 IV 286 consid. 1.4 p. 287).</w:t>
      </w:r>
    </w:p>
    <w:p>
      <w:r>
        <w:rPr>
          <w:b/>
        </w:rPr>
        <w:t>E. 2</w:t>
      </w:r>
    </w:p>
    <w:p>
      <w:r>
        <w:t>Le recourant se plaint d'arbitraire dans la fixation de son revenu. Il fait valoir que celui-ci devait être arrêté à 9'000 fr., et non à 9'500 fr., par mois, reprochant à la cour cantonale d'avoir inclus dans son salaire un bonus maximum, au lieu d'un "bonus moyen", ainsi que les allocations familiales.</w:t>
      </w:r>
    </w:p>
    <w:p>
      <w:r>
        <w:t>Le montant admis par l'autorité cantonale repose sur les constatations des premiers juges, lesquelles n'ont pas été critiquées dans un recours en nullité. En outre, la juridiction précédente, faisant sien l'état de fait du jugement de première instance, a retenu que "[d]e son propre aveu, X.________ perçoit environ 9'500 fr. par mois en 2008"; l'intéressé ne démontre pas en quoi cette constatation serait arbitraire ( art. 106 al. 2 LTF ). Le grief s'avère dès lors irrecevable.</w:t>
      </w:r>
    </w:p>
    <w:p>
      <w:r>
        <w:rPr>
          <w:b/>
        </w:rPr>
        <w:t>E. 3</w:t>
      </w:r>
    </w:p>
    <w:p>
      <w:r>
        <w:t>La Chambre des recours a d'abord constaté que le recourant était en mesure d'assumer financièrement les contributions mises à sa charge pour chacun des enfants mineurs; elle a ainsi considéré que le père ne pouvait tirer argument de la convention passée avec sa fille majeure en décembre 2008, fixant la pension en sa faveur à 900 fr., pour obtenir une réduction des contributions à l'entretien de ses deux fils sous le couvert du principe de l'égalité de traitement entre enfants d'un même débiteur; en effet, ce principe ne doit pas servir à réduire les pensions au montant le plus bas pour ménager le débiteur. En outre, même si un taux de 30 % à 35 % du revenu du recourant était appliqué pour fixer les pensions dues pour trois enfants, on obtiendrait un montant de 950 fr. à 1'108 fr. par enfant, à savoir un montant qui ne différerait guère de celui de 1'050 fr. maintenu par le Tribunal d'arrondissement, en sorte que la modification de la contribution n'apparaît pas non plus justifiée sous cet angle.</w:t>
      </w:r>
    </w:p>
    <w:p>
      <w:r>
        <w:rPr>
          <w:b/>
        </w:rPr>
        <w:t>E. 3.1</w:t>
      </w:r>
    </w:p>
    <w:p>
      <w:r>
        <w:t>Dans une argumentation confuse, le recourant se plaint derechef d'une violation du principe de l'égalité de traitement entre ses enfants, exposant qu'il n'y a aucune raison que ses fils perçoivent une contribution plus élevée (1'050 fr.) que celle de leur soeur (900 fr.); à supposer que la contribution soit maintenue à 1'050 fr., sa réduction devrait être ordonnée à concurrence de 900 fr. dès la majorité des enfants pour le même motif.</w:t>
      </w:r>
    </w:p>
    <w:p>
      <w:r>
        <w:t>Comme l'a admis la cour cantonale, l'éventuelle inégalité de traitement ne nuirait pas aux fils du recourant, mais à leur soeur, qui n'est pas partie à la présente procédure. Par ailleurs, les contributions d'entretien ne portent pas atteinte au minimum vital de l'intéressé, qui, au reste, ne réclame pas un partage égal de son disponible entre ses enfants. De surcroît, la pension allouée à la fille résulte d'une convention passée avec celle-ci. En l'état, dès lors que les ressources du recourant sont suffisantes pour assurer le paiement de toutes les contributions et que les enfants mineurs ne sont en tous cas pas victimes d'une inégalité de traitement, il ne se justifie pas de réduire les contributions pour le motif que la fille aînée perçoit un montant inférieur. Le Tribunal fédéral a jugé à maintes reprises que le débirentier ne saurait en effet invoquer le principe de l'égalité de traitement d'une manière contraire à son but, partant abusive ( ATF 131 III 535 consid. 4.2 p. 539), afin d'obtenir la réduction des contributions que ses ressources lui permettent de payer (arrêts 5A_288/2009 du 10 septembre 2009 consid. 4.2; 5A_62/2007 du 24 août 2007 consid. 6.2 et les citations). Ces considérations valent pour les conclusions subsidiaires du recourant, lesquelles reposent sur le même motif de réduction des contributions alimentaires à la majorité des enfants.</w:t>
      </w:r>
    </w:p>
    <w:p>
      <w:r>
        <w:rPr>
          <w:b/>
        </w:rPr>
        <w:t>E. 3.2</w:t>
      </w:r>
    </w:p>
    <w:p>
      <w:r>
        <w:t>Le recourant tient pour arbitraire le point de départ (1er novembre 2008) de la modification de la contribution d'entretien; il expose que la pension aurait dû être fixée au moment du début de l'apprentissage de B.________, à savoir le 1er août 2008, date qui correspond au dépôt de sa demande de réduction de la contribution. Ce moyen est irrecevable, faute de constatations de fait sur la date du début de l'apprentissage de l'enfant (art. 99 al. 1 et 105 al. 1 LTF).</w:t>
      </w:r>
    </w:p>
    <w:p>
      <w:r>
        <w:rPr>
          <w:b/>
        </w:rPr>
        <w:t>E. 3.3</w:t>
      </w:r>
    </w:p>
    <w:p>
      <w:r>
        <w:t>Le recourant dénonce encore une application arbitraire du droit de procédure cantonal en matière de dépens; il reproche à la Chambre des recours d'avoir confirmé l'allocation de dépens réduits à l'intimée en première instance, alors qu'il aurait fallu, à tout le moins, les compenser. Le recourant n'indique pas les règles de la procédure cantonale qui auraient été transgressées, de sorte que le moyen ne satisfait pas aux exigences légales de motivation (cf. supra, consid. 1.2).</w:t>
      </w:r>
    </w:p>
    <w:p>
      <w:r>
        <w:rPr>
          <w:b/>
        </w:rPr>
        <w:t>E. 3.4</w:t>
      </w:r>
    </w:p>
    <w:p>
      <w:r>
        <w:t>Il n'y a pas lieu d'entrer en matière sur le moyen pris d'un "déni de justice matériel" que la cour cantonale aurait commis en écartant à tort une écriture produite tardivement. Le recourant n'expose pas pourquoi la "maxime d'office" dispenserait les parties de procéder régulièrement (cf. pour l'interdiction d'alléguer des nova en instance fédérale: arrêts 5A_645/2008 du 27 août 2009 consid. 1.4; 5A_537/2007 du 3 octobre 2007 consid. 1.2 et la jurisprudence citée), en l'occurrence de déposer leurs écritures dans le délai légal ( art. 106 al. 2 LTF ).</w:t>
      </w:r>
    </w:p>
    <w:p>
      <w:r>
        <w:rPr>
          <w:b/>
        </w:rPr>
        <w:t>E. 4</w:t>
      </w:r>
    </w:p>
    <w:p>
      <w:r>
        <w:t>En conclusion, le recours constitutionnel subsidiaire est irrecevable et le recours en matière civile mal fondé dans la mesure où il est recevable. Les frais judiciaires incombent au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