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5A_420/2024 vom 3. Juli 2024</w:t>
      </w:r>
    </w:p>
    <w:p>
      <w:r>
        <w:t>Bundesgericht, 2024-07-03, DE</w:t>
      </w:r>
    </w:p>
    <w:p>
      <w:r>
        <w:rPr>
          <w:b/>
        </w:rPr>
        <w:t xml:space="preserve">Quelle: </w:t>
      </w:r>
      <w:r>
        <w:t>https://mcp.opencaselaw.ch/entscheid/bger_5A_420_2024</w:t>
      </w:r>
    </w:p>
    <w:p>
      <w:r>
        <w:t>FR: TF 5A_420/2024 du 3 juillet 2024</w:t>
      </w:r>
    </w:p>
    <w:p>
      <w:r>
        <w:t>IT: TF 5A_420/2024 del 3 luglio 2024</w:t>
      </w:r>
    </w:p>
    <w:p>
      <w:pPr>
        <w:pStyle w:val="Heading2"/>
      </w:pPr>
      <w:r>
        <w:t>Erwägungen</w:t>
      </w:r>
    </w:p>
    <w:p>
      <w:r>
        <w:rPr>
          <w:b/>
        </w:rPr>
        <w:t>E. 1</w:t>
      </w:r>
    </w:p>
    <w:p>
      <w:r>
        <w:t>Angefochten ist der kantonal letztinstanzliche Entscheid betreffend die Festlegung des Besuchsrechts des Beschwerdegegners. Die Beschwerde in Zivilsachen steht grundsätzlich offen ( Art. 72 Abs. 1, Art. 75 Abs. 1 und Art. 90 BGG ).</w:t>
      </w:r>
    </w:p>
    <w:p>
      <w:r>
        <w:rPr>
          <w:b/>
        </w:rPr>
        <w:t>E. 2</w:t>
      </w:r>
    </w:p>
    <w:p>
      <w:r>
        <w:t>Neue Begehren sind vor Bundesgericht unzulässig ( Art. 99 Abs. 2 BGG ). Soweit mehr oder anderes verlangt wird, als von der Vorinstanz beurteilt wurde, ist darauf nicht einzutreten ( BGE 136 II 457 E. 4.2; 136 V 362 E. 3.4.2 ; 142 I 155 E. 4.4.2). Dies betrifft insbesondere die Ausstandsbegehren, welche nicht Gegenstand des angefochtenen Entscheides waren.</w:t>
      </w:r>
    </w:p>
    <w:p>
      <w:r>
        <w:rPr>
          <w:b/>
        </w:rPr>
        <w:t>E. 3</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t>Die Beschwerde lässt eine sich auf den angefochtenen Entscheid beziehende Begründung vermissen. Die Beschwerdeführerin stellt tabellarisch ihre Handlungsschritte sowie Verfahrensabläufe dar und äussert sich zur angeblichen Befangenheit der erstinstanzlichen Fachrichterin und der Kindesvertreterin, deren Anwaltsbüro "anscheinend ein Massengeschäft mit dem Bezirksgericht Rheinfelden" habe. Ferner hält sie in abstrakter Weise mehrmals fest, dass es ihr immer nur um das Wohl und die Interessen des Kindes gegangen sei und gehe.</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