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5A_420/2019 vom 22. Mai 2019</w:t>
      </w:r>
    </w:p>
    <w:p>
      <w:r>
        <w:t>Bundesgericht, 2019-05-22, DE</w:t>
      </w:r>
    </w:p>
    <w:p>
      <w:r>
        <w:rPr>
          <w:b/>
        </w:rPr>
        <w:t xml:space="preserve">Quelle: </w:t>
      </w:r>
      <w:r>
        <w:t>https://mcp.opencaselaw.ch/entscheid/bger_5A_420_2019</w:t>
      </w:r>
    </w:p>
    <w:p>
      <w:r>
        <w:t>FR: TF 5A_420/2019 du 22 mai 2019</w:t>
      </w:r>
    </w:p>
    <w:p>
      <w:r>
        <w:t>IT: TF 5A_420/2019 del 22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in der Sache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Beschwerde scheitert bereits daran, dass kein Begehren in der Sache gestellt, sondern gewissermassen ein aufsichtsrechtlicher Antrag gestellt wird; das Bundesgericht ist indes nicht Aufsichtsbehörde der kantonalen Gerichte.</w:t>
      </w:r>
    </w:p>
    <w:p>
      <w:r>
        <w:t>Sodann enthält die Beschwerde nicht ansatzweise eine Auseinandersetzung mit den Erwägungen des angefochtenen Entscheides, sondern einen nicht sachbezogenen Rundumschlag, mit welchem die Mutter vorgetäuschter Krankheiten und des IV-Betrugs sowie der Urkundenfälschung bezichtigt wird und den Gerichten Käuflichkeit unterstellt wird; im Übrigen wird abstrakt festgehalten, es gebe genügend Beweise, dass er nicht der Vater sein könne.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