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5A_417/2021 vom 21. Mai 2021</w:t>
      </w:r>
    </w:p>
    <w:p>
      <w:r>
        <w:t>Bundesgericht, 2021-05-21, FR</w:t>
      </w:r>
    </w:p>
    <w:p>
      <w:r>
        <w:rPr>
          <w:b/>
        </w:rPr>
        <w:t xml:space="preserve">Quelle: </w:t>
      </w:r>
      <w:r>
        <w:t>https://mcp.opencaselaw.ch/entscheid/bger_5A_417_2021</w:t>
      </w:r>
    </w:p>
    <w:p>
      <w:r>
        <w:t>FR: TF 5A_417/2021 du 21 mai 2021</w:t>
      </w:r>
    </w:p>
    <w:p>
      <w:r>
        <w:t>IT: TF 5A_417/2021 del 21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19 avril 2021, la Chambre de surveillance de la Cour de justice du canton de Genève a imparti à A.________ un délai au 5 mai 2021 pour verser une avance de frais de 400 fr., dans le cadre du recours qu'elle a formé le 12 avril 2021 par devant cette autorité (curatelle).</w:t>
      </w:r>
    </w:p>
    <w:p>
      <w:r>
        <w:rPr>
          <w:b/>
        </w:rPr>
        <w:t>E. 2</w:t>
      </w:r>
    </w:p>
    <w:p>
      <w:r>
        <w:t>Par acte du 16 mai 2021, remis à la Poste suisse le 18 mai 2021, A.________ exerce un recours au Tribunal fédéral.</w:t>
      </w:r>
    </w:p>
    <w:p>
      <w:r>
        <w:rPr>
          <w:b/>
        </w:rPr>
        <w:t>E. 3</w:t>
      </w:r>
    </w:p>
    <w:p>
      <w:r>
        <w:t>L'ordonnance attaquée impartissant un délai à la recourante pour verser une avance de frais doit être qualifiée de décision incidente, qui n'est sujette à recours que si elle peut causer à la recourante un préjudice juridique irréparable selon l' art. 93 al. 1 let. a LTF ( ATF 142 III 36 ; 137 III 380 consid. 1.1; arrêts 5A_683/2020 du 8 décembre 2020 consid. 1.1; 5A_15/2020 du 6 mai 2020 consid. 1.1).</w:t>
      </w:r>
    </w:p>
    <w:p>
      <w:r>
        <w:t>En l'espèce, la recourante, qui n'aborde pas cette problématique dans son écriture, ne démontre pas que la décision entreprise lui causerait un tel préjudice ( ATF 142 III 798 consid. 2.2 et les références). Celui-ci n'est pas non plus évident. Il s'ensuit que le recours doit être écarté d'emblée (arrêt 5A_854/2020 du 11 novembre 2020 consid. 3).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a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