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417/2016 vom 5. September 2016</w:t>
      </w:r>
    </w:p>
    <w:p>
      <w:r>
        <w:t>Bundesgericht, 2016-09-05, FR</w:t>
      </w:r>
    </w:p>
    <w:p>
      <w:r>
        <w:rPr>
          <w:b/>
        </w:rPr>
        <w:t xml:space="preserve">Quelle: </w:t>
      </w:r>
      <w:r>
        <w:t>https://mcp.opencaselaw.ch/entscheid/bger_5A_417_2016</w:t>
      </w:r>
    </w:p>
    <w:p>
      <w:r>
        <w:t>FR: TF 5A 417/2016 du 5 septembre 2016</w:t>
      </w:r>
    </w:p>
    <w:p>
      <w:r>
        <w:t>IT: TF 5A 417/2016 del 5 settembre 2016</w:t>
      </w:r>
    </w:p>
    <w:p>
      <w:pPr>
        <w:pStyle w:val="Heading2"/>
      </w:pPr>
      <w:r>
        <w:t>Regeste</w:t>
      </w:r>
    </w:p>
    <w:p>
      <w:r>
        <w:t>quote-part du droit de superficie (action en partage) | Droits réels</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La décision entreprise se limite à constater la quote-part dont disposent les parties sur un droit de superficie dont elles sont co-titulaires. Cette décision, prise dans le cadre d'une action en partage dudit droit, constitue non pas une décision partielle ainsi qu'il ressort de la décision cantonale et que l'allèguent les recourants, mais une décision préjudicielle selon l' art. 93 LTF . A supposer en effet que le partage du droit de superficie sollicité par les intimés soit envisageable ( art. 650 CC ), la détermination des quotes-parts respectives de chaque co-superficiaire constitue un préalable au partage que la décision finale sera susceptible d'ordonner ( art. 651 CC ; cf. ATF 135 III 566 consid. 1.1; 133 III 629 consid. 2.2 et les nombreuses références).</w:t>
      </w:r>
    </w:p>
    <w:p>
      <w:r>
        <w:rPr>
          <w:b/>
        </w:rPr>
        <w:t>E. 1.2.1</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rPr>
          <w:b/>
        </w:rPr>
        <w:t>E. 1.2.2.1</w:t>
      </w:r>
    </w:p>
    <w:p>
      <w:r>
        <w:t>Le Tribunal de céans n'est en l'espèce pas en mesure de rendre lui-même un jugement final en réformant la décision préjudicielle attaquée: son arrêt ne pourrait en effet mettre fin à la procédure de partage initiée par les intimés. Une entrée en matière fondée sur l' art. 93 al. 1 let. b LTF est en conséquence exclue.</w:t>
      </w:r>
    </w:p>
    <w:p>
      <w:r>
        <w:rPr>
          <w:b/>
        </w:rPr>
        <w:t>E. 1.2.2.2</w:t>
      </w:r>
    </w:p>
    <w:p>
      <w:r>
        <w:t>Reste à déterminer si la décision entreprise cause aux recourants un préjudice irréparable au sens de l' art. 93 al. 1 let. a LTF . Un préjudice ne peut être qualifié d'irréparable au sens de la disposition précitée que s'il cause un inconvénient de nature juridique, qui ne puisse pas être ultérieurement réparé ou entièrement réparé par une décision finale favorable au recourant ( ATF 134 III 188 consid. 2.1; 138 III 190 consid. 6); un dommage économique ou de pur fait n'est pas considéré comme un dommage irréparable ( ATF 141 III 80 consid. 1.2; 138 III 333 consid. 1.3.1; 134 III 188 consid. 2.2). Il appartient au recourant d'expliquer en quoi la décision entreprise remplit les conditions de l' art. 93 LTF , sauf si ce point découle manifestement de la décision attaquée ou de la nature de la cause ( art. 42 al. 1 et 2 LTF ; notamment: ATF 142 V 26 consid. 1.2; 141 III 80 consid. 1.2; 138 III 46 consid. 1.2 et les références). Les recourants se sont en l'espèce mépris sur la qualification de la décision entreprise, estimant qu'elle serait partielle au sens de l' art. 91 LTF . Ils n'ont en conséquence pas démontré le préjudice irréparable qu'elle serait susceptible de leur causer. La question tranchée par la décision cantonale pourra au demeurant parfaitement être remise en cause avec la décision finale sur le partage du droit de superficie, de sorte qu'aucun préjudice irréparable n'est à relever.</w:t>
      </w:r>
    </w:p>
    <w:p>
      <w:r>
        <w:rPr>
          <w:b/>
        </w:rPr>
        <w:t>E. 2</w:t>
      </w:r>
    </w:p>
    <w:p>
      <w:r>
        <w:t>Le recours est en conséquence irrecevable. Les frais judiciaires sont mis à la charge des recourants, solidairement entre eux ( art. 66 al. 1 et 5 LTF ). Les intimés n'ont pas été invités à se déterminer; ils n'ont donc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